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0CA8" w14:textId="77777777" w:rsidR="007207E0" w:rsidRPr="00EC3270" w:rsidRDefault="007207E0" w:rsidP="007207E0">
      <w:pPr>
        <w:pStyle w:val="-21"/>
        <w:pBdr>
          <w:bottom w:val="single" w:sz="4" w:space="7" w:color="4F81BD"/>
        </w:pBdr>
        <w:tabs>
          <w:tab w:val="left" w:pos="0"/>
        </w:tabs>
        <w:spacing w:before="0" w:after="0" w:line="240" w:lineRule="auto"/>
        <w:ind w:left="0" w:right="281"/>
        <w:jc w:val="center"/>
        <w:rPr>
          <w:rFonts w:ascii="Verdana" w:hAnsi="Verdana"/>
          <w:i w:val="0"/>
          <w:color w:val="auto"/>
          <w:sz w:val="24"/>
        </w:rPr>
      </w:pPr>
      <w:r w:rsidRPr="00EC3270">
        <w:rPr>
          <w:rFonts w:ascii="Verdana" w:hAnsi="Verdana"/>
          <w:color w:val="auto"/>
          <w:sz w:val="24"/>
        </w:rPr>
        <w:t>Лист – об`ява</w:t>
      </w:r>
    </w:p>
    <w:p w14:paraId="4F35BBEC" w14:textId="77777777" w:rsidR="00CE21C0" w:rsidRDefault="00CE21C0" w:rsidP="007207E0">
      <w:pPr>
        <w:pStyle w:val="a3"/>
        <w:tabs>
          <w:tab w:val="left" w:pos="0"/>
        </w:tabs>
        <w:ind w:right="139"/>
        <w:rPr>
          <w:rFonts w:ascii="Verdana" w:hAnsi="Verdana"/>
          <w:i/>
          <w:sz w:val="24"/>
        </w:rPr>
      </w:pPr>
    </w:p>
    <w:p w14:paraId="44A769C4" w14:textId="4EB9F696" w:rsidR="007207E0" w:rsidRPr="00EC3270" w:rsidRDefault="007207E0" w:rsidP="007207E0">
      <w:pPr>
        <w:pStyle w:val="a3"/>
        <w:tabs>
          <w:tab w:val="left" w:pos="0"/>
        </w:tabs>
        <w:ind w:right="139"/>
        <w:rPr>
          <w:rFonts w:ascii="Verdana" w:hAnsi="Verdana"/>
          <w:i/>
          <w:sz w:val="24"/>
        </w:rPr>
      </w:pPr>
      <w:r w:rsidRPr="00EC3270">
        <w:rPr>
          <w:rFonts w:ascii="Verdana" w:hAnsi="Verdana"/>
          <w:i/>
          <w:sz w:val="24"/>
        </w:rPr>
        <w:t xml:space="preserve">«Значення термінів політично значущі особи, члени їх сімей та особи пов’язані із політично значущими особами» </w:t>
      </w:r>
    </w:p>
    <w:p w14:paraId="65914AC9" w14:textId="321339CB" w:rsidR="007207E0" w:rsidRPr="00EC3270" w:rsidRDefault="007207E0" w:rsidP="007207E0">
      <w:pPr>
        <w:tabs>
          <w:tab w:val="left" w:pos="142"/>
        </w:tabs>
        <w:spacing w:after="0" w:line="240" w:lineRule="auto"/>
        <w:ind w:right="139"/>
        <w:rPr>
          <w:rFonts w:ascii="Verdana" w:hAnsi="Verdana"/>
          <w:i/>
          <w:sz w:val="14"/>
          <w:szCs w:val="14"/>
          <w:lang w:val="uk-UA"/>
        </w:rPr>
      </w:pPr>
      <w:r w:rsidRPr="00EC3270">
        <w:rPr>
          <w:rFonts w:ascii="Verdana" w:hAnsi="Verdana"/>
          <w:i/>
          <w:sz w:val="14"/>
          <w:szCs w:val="14"/>
          <w:lang w:val="uk-UA"/>
        </w:rPr>
        <w:t>терміни викладені  у значенні, згідно вимог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від 06 грудня  2019 року N361-IX</w:t>
      </w:r>
    </w:p>
    <w:p w14:paraId="269CF292" w14:textId="77777777" w:rsidR="007207E0" w:rsidRPr="00EC3270" w:rsidRDefault="007207E0" w:rsidP="007207E0">
      <w:pPr>
        <w:tabs>
          <w:tab w:val="left" w:pos="142"/>
        </w:tabs>
        <w:spacing w:after="0" w:line="240" w:lineRule="auto"/>
        <w:ind w:right="139"/>
        <w:rPr>
          <w:rFonts w:ascii="Verdana" w:hAnsi="Verdana"/>
          <w:i/>
          <w:sz w:val="14"/>
          <w:szCs w:val="14"/>
          <w:lang w:val="uk-UA"/>
        </w:rPr>
      </w:pPr>
    </w:p>
    <w:p w14:paraId="13EA349D" w14:textId="77777777" w:rsidR="007207E0" w:rsidRPr="00EC3270" w:rsidRDefault="007207E0" w:rsidP="007207E0">
      <w:pPr>
        <w:ind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eastAsia="Times New Roman" w:hAnsi="Verdana"/>
          <w:b/>
          <w:sz w:val="20"/>
          <w:szCs w:val="20"/>
          <w:u w:val="single"/>
          <w:lang w:val="uk-UA" w:eastAsia="ru-RU"/>
        </w:rPr>
        <w:t>Політично значущі особи</w:t>
      </w:r>
      <w:r w:rsidRPr="00EC3270">
        <w:rPr>
          <w:rFonts w:ascii="Verdana" w:hAnsi="Verdana"/>
          <w:sz w:val="20"/>
          <w:szCs w:val="20"/>
          <w:lang w:val="uk-UA"/>
        </w:rPr>
        <w:t xml:space="preserve"> - фізичні особи, які є національними, іноземними публічними діячами та діячами, які виконують публічні функції в міжнародних організаціях.</w:t>
      </w:r>
    </w:p>
    <w:p w14:paraId="1AF125B5" w14:textId="77777777" w:rsidR="007207E0" w:rsidRPr="00EC3270" w:rsidRDefault="007207E0" w:rsidP="007207E0">
      <w:pPr>
        <w:pStyle w:val="StyleZakonu"/>
        <w:spacing w:after="0" w:line="240" w:lineRule="auto"/>
        <w:ind w:right="139" w:firstLine="0"/>
        <w:rPr>
          <w:rFonts w:ascii="Verdana" w:hAnsi="Verdana"/>
        </w:rPr>
      </w:pPr>
      <w:r w:rsidRPr="00EC3270">
        <w:rPr>
          <w:rFonts w:ascii="Verdana" w:hAnsi="Verdana"/>
          <w:b/>
          <w:u w:val="single"/>
        </w:rPr>
        <w:t>Національні публічні діячі</w:t>
      </w:r>
      <w:r w:rsidRPr="00EC3270">
        <w:rPr>
          <w:rFonts w:ascii="Verdana" w:hAnsi="Verdana"/>
        </w:rPr>
        <w:t xml:space="preserve"> - фізичні особи, які виконують або виконували </w:t>
      </w:r>
      <w:r w:rsidRPr="00EC3270">
        <w:rPr>
          <w:rFonts w:ascii="Verdana" w:hAnsi="Verdana"/>
          <w:color w:val="333333"/>
          <w:shd w:val="clear" w:color="auto" w:fill="FFFFFF"/>
        </w:rPr>
        <w:t xml:space="preserve">протягом останніх трьох років </w:t>
      </w:r>
      <w:r w:rsidRPr="00EC3270">
        <w:rPr>
          <w:rFonts w:ascii="Verdana" w:hAnsi="Verdana"/>
        </w:rPr>
        <w:t>в Україні визначні публічні функції, а саме:</w:t>
      </w:r>
    </w:p>
    <w:p w14:paraId="30404CD9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Президент України, Прем’єр-міністр України, члени Кабінету Міністрів України та їх заступники;</w:t>
      </w:r>
    </w:p>
    <w:p w14:paraId="2DD0EE3C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керівник постійно діючого допоміжного органу, утвореного Президентом України, його заступники;</w:t>
      </w:r>
    </w:p>
    <w:p w14:paraId="43503FA0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керівник та заступники Керівника Державного управління справами;</w:t>
      </w:r>
    </w:p>
    <w:p w14:paraId="78A5B011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керівники апаратів (секретаріатів) державних органів, що не є державними службовцями, посади яких належать до категорії “А”;</w:t>
      </w:r>
    </w:p>
    <w:p w14:paraId="07607F4E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Секретар та заступники Секретаря Ради національної безпеки і оборони України;</w:t>
      </w:r>
    </w:p>
    <w:p w14:paraId="1C008205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народні депутати України;</w:t>
      </w:r>
    </w:p>
    <w:p w14:paraId="5A88B383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Голова та члени Правління Національного банку України, члени Ради Національного банку України;</w:t>
      </w:r>
    </w:p>
    <w:p w14:paraId="495B7D2F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голови та судді Конституційного Суду України, Верховного Суду, вищих спеціалізованих судів;</w:t>
      </w:r>
    </w:p>
    <w:p w14:paraId="55DE50AF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члени Вищої ради правосуддя, члени Вищої кваліфікаційної комісії суддів України, члени Кваліфікаційно-дисциплінарної комісії прокурорів;</w:t>
      </w:r>
    </w:p>
    <w:p w14:paraId="4CCA36E5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Генеральний прокурор та його заступники;</w:t>
      </w:r>
    </w:p>
    <w:p w14:paraId="04A8C98F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Голова Служби безпеки України та його заступники;</w:t>
      </w:r>
    </w:p>
    <w:p w14:paraId="5A4928AC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Директор Національного антикорупційного бюро України та його заступники;</w:t>
      </w:r>
    </w:p>
    <w:p w14:paraId="43AA3164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Директор Державного бюро розслідувань та його заступники;</w:t>
      </w:r>
    </w:p>
    <w:p w14:paraId="73359A2C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 xml:space="preserve">Директор Бюро </w:t>
      </w:r>
      <w:bookmarkStart w:id="0" w:name="_Hlk137511902"/>
      <w:r w:rsidRPr="00EC3270">
        <w:rPr>
          <w:rFonts w:ascii="Verdana" w:hAnsi="Verdana"/>
        </w:rPr>
        <w:t>економічної безпеки України</w:t>
      </w:r>
      <w:bookmarkEnd w:id="0"/>
      <w:r w:rsidRPr="00EC3270">
        <w:rPr>
          <w:rFonts w:ascii="Verdana" w:hAnsi="Verdana"/>
        </w:rPr>
        <w:t xml:space="preserve"> та його заступники;</w:t>
      </w:r>
    </w:p>
    <w:p w14:paraId="6A6889CF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Голова та члени Національної ради України з питань телебачення і радіомовлення, Голова та члени Антимонопольного комітету України, Голова Національного агентства з питань запобігання корупції та його заступники, Голова та члени Рахункової палати, Голова та члени Центральної виборчої комісії, голови та члени інших державних колегіальних органів;</w:t>
      </w:r>
    </w:p>
    <w:p w14:paraId="477BC5E8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надзвичайні і повноважні посли;</w:t>
      </w:r>
    </w:p>
    <w:p w14:paraId="72642AD9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начальник Генерального штабу - Головнокомандувач Збройних Сил України, командувачі Сухопутних військ Збройних Сил України, Повітряних Сил Збройних Сил України, Військово-Морських Сил Збройних Сил України;</w:t>
      </w:r>
    </w:p>
    <w:p w14:paraId="07CCB14F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державні службовці, посади яких належать до категорії “А”;</w:t>
      </w:r>
    </w:p>
    <w:p w14:paraId="52BADB85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керівники органів прокуратури, керівники обласних територіальних органів Служби безпеки України, голови та судді апеляційних судів;</w:t>
      </w:r>
    </w:p>
    <w:p w14:paraId="65846384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керівники адміністративних, управлінських чи наглядових органів державних та казенних підприємств, господарських товариств, державна частка у статутному капіталі яких прямо чи опосередковано перевищує 50 відсотків;</w:t>
      </w:r>
    </w:p>
    <w:p w14:paraId="22EAB5DE" w14:textId="77777777" w:rsidR="007207E0" w:rsidRPr="00EC3270" w:rsidRDefault="007207E0" w:rsidP="002F0656">
      <w:pPr>
        <w:pStyle w:val="StyleZakonu"/>
        <w:numPr>
          <w:ilvl w:val="0"/>
          <w:numId w:val="6"/>
        </w:numPr>
        <w:spacing w:after="0" w:line="240" w:lineRule="auto"/>
        <w:ind w:left="426" w:right="139" w:hanging="218"/>
        <w:rPr>
          <w:rFonts w:ascii="Verdana" w:hAnsi="Verdana"/>
        </w:rPr>
      </w:pPr>
      <w:r w:rsidRPr="00EC3270">
        <w:rPr>
          <w:rFonts w:ascii="Verdana" w:hAnsi="Verdana"/>
        </w:rPr>
        <w:t>члени керівних органів політичних партій.</w:t>
      </w:r>
    </w:p>
    <w:p w14:paraId="214FC33E" w14:textId="77777777" w:rsidR="007207E0" w:rsidRPr="00EC3270" w:rsidRDefault="007207E0" w:rsidP="002F0656">
      <w:pPr>
        <w:pStyle w:val="StyleZakonu"/>
        <w:spacing w:after="0" w:line="240" w:lineRule="auto"/>
        <w:ind w:left="426" w:right="139" w:firstLine="720"/>
        <w:rPr>
          <w:rFonts w:ascii="Verdana" w:hAnsi="Verdana"/>
        </w:rPr>
      </w:pPr>
    </w:p>
    <w:p w14:paraId="0C01E0D7" w14:textId="77777777" w:rsidR="007207E0" w:rsidRPr="00EC3270" w:rsidRDefault="007207E0" w:rsidP="007207E0">
      <w:pPr>
        <w:pStyle w:val="StyleZakonu"/>
        <w:spacing w:after="0" w:line="240" w:lineRule="auto"/>
        <w:ind w:right="139" w:firstLine="0"/>
        <w:rPr>
          <w:rFonts w:ascii="Verdana" w:hAnsi="Verdana"/>
        </w:rPr>
      </w:pPr>
      <w:r w:rsidRPr="00EC3270">
        <w:rPr>
          <w:rFonts w:ascii="Verdana" w:hAnsi="Verdana"/>
          <w:b/>
          <w:u w:val="single"/>
        </w:rPr>
        <w:t>Діячі, які виконують публічні функції в міжнародних організаціях</w:t>
      </w:r>
      <w:r w:rsidRPr="00EC3270">
        <w:rPr>
          <w:rFonts w:ascii="Verdana" w:hAnsi="Verdana"/>
          <w:u w:val="single"/>
        </w:rPr>
        <w:t>,</w:t>
      </w:r>
      <w:r w:rsidRPr="00EC3270">
        <w:rPr>
          <w:rFonts w:ascii="Verdana" w:hAnsi="Verdana"/>
        </w:rPr>
        <w:t xml:space="preserve"> - </w:t>
      </w:r>
      <w:r w:rsidRPr="00EC3270">
        <w:rPr>
          <w:rFonts w:ascii="Verdana" w:hAnsi="Verdana"/>
          <w:shd w:val="clear" w:color="auto" w:fill="FFFFFF"/>
        </w:rPr>
        <w:t>посадові особи міжнародних організацій, які обіймають або обіймали протягом останніх трьох років посаду керівника (директора, голови правління або іншу) чи заступника керівника в таких організаціях або виконують чи виконували протягом останніх трьох років будь-які інші керівні (визначні публічні) функції на найвищому рівні, в тому числі в міжнародних міждержавних організаціях, члени міжнародних парламентських асамблей, судді та керівні посадові особи міжнародних судів</w:t>
      </w:r>
      <w:r w:rsidRPr="00EC3270">
        <w:rPr>
          <w:rFonts w:ascii="Verdana" w:hAnsi="Verdana"/>
        </w:rPr>
        <w:t>.</w:t>
      </w:r>
    </w:p>
    <w:p w14:paraId="3F1B5E3D" w14:textId="77777777" w:rsidR="007207E0" w:rsidRPr="00EC3270" w:rsidRDefault="007207E0" w:rsidP="007207E0">
      <w:pPr>
        <w:pStyle w:val="StyleZakonu"/>
        <w:spacing w:after="0" w:line="240" w:lineRule="auto"/>
        <w:ind w:right="139" w:firstLine="720"/>
        <w:rPr>
          <w:rFonts w:ascii="Verdana" w:hAnsi="Verdana"/>
        </w:rPr>
      </w:pPr>
    </w:p>
    <w:p w14:paraId="17FB249A" w14:textId="77777777" w:rsidR="007207E0" w:rsidRPr="00EC3270" w:rsidRDefault="007207E0" w:rsidP="007207E0">
      <w:pPr>
        <w:pStyle w:val="StyleZakonu"/>
        <w:spacing w:after="0" w:line="240" w:lineRule="auto"/>
        <w:ind w:right="139" w:firstLine="0"/>
        <w:rPr>
          <w:rFonts w:ascii="Verdana" w:hAnsi="Verdana"/>
        </w:rPr>
      </w:pPr>
      <w:r w:rsidRPr="00EC3270">
        <w:rPr>
          <w:rFonts w:ascii="Verdana" w:hAnsi="Verdana"/>
          <w:b/>
          <w:u w:val="single"/>
        </w:rPr>
        <w:t>Іноземні публічні діячі</w:t>
      </w:r>
      <w:r w:rsidRPr="00EC3270">
        <w:rPr>
          <w:rFonts w:ascii="Verdana" w:hAnsi="Verdana"/>
        </w:rPr>
        <w:t xml:space="preserve"> - фізичні особи, які виконують або виконували </w:t>
      </w:r>
      <w:r w:rsidRPr="00EC3270">
        <w:rPr>
          <w:rFonts w:ascii="Verdana" w:hAnsi="Verdana"/>
          <w:color w:val="333333"/>
          <w:shd w:val="clear" w:color="auto" w:fill="FFFFFF"/>
        </w:rPr>
        <w:t xml:space="preserve">протягом останніх трьох років </w:t>
      </w:r>
      <w:r w:rsidRPr="00EC3270">
        <w:rPr>
          <w:rFonts w:ascii="Verdana" w:hAnsi="Verdana"/>
        </w:rPr>
        <w:t>визначні публічні функції в іноземних державах, а саме:</w:t>
      </w:r>
    </w:p>
    <w:p w14:paraId="18B7E4A4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>глава держави, уряду, міністри (заступники);</w:t>
      </w:r>
    </w:p>
    <w:p w14:paraId="61CB1FFF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lastRenderedPageBreak/>
        <w:t>члени парламенту або інших органів, що виконують функції законодавчого органу держави;</w:t>
      </w:r>
    </w:p>
    <w:p w14:paraId="48977139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>голови та члени правлінь центральних банків або рахункових палат;</w:t>
      </w:r>
    </w:p>
    <w:p w14:paraId="74DF6DA6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>члени верховного суду, конституційного суду або інших судових органів, рішення яких не підлягають оскарженню, крім оскарження у зв’язку з винятковими обставинами;</w:t>
      </w:r>
    </w:p>
    <w:p w14:paraId="3A7E6042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>надзвичайні та повноважні посли, повірені у справах та керівники центральних органів військового управління;</w:t>
      </w:r>
    </w:p>
    <w:p w14:paraId="1D3F8DA2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>керівники адміністративних, управлінських чи наглядових органів державних підприємств;</w:t>
      </w:r>
    </w:p>
    <w:p w14:paraId="2A294889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>члени керівних органів політичних партій.</w:t>
      </w:r>
    </w:p>
    <w:p w14:paraId="0CD06A97" w14:textId="77777777" w:rsidR="007207E0" w:rsidRPr="00EC3270" w:rsidRDefault="007207E0" w:rsidP="007207E0">
      <w:pPr>
        <w:pStyle w:val="StyleZakonu"/>
        <w:spacing w:after="0" w:line="240" w:lineRule="auto"/>
        <w:ind w:right="139" w:firstLine="720"/>
        <w:rPr>
          <w:rFonts w:ascii="Verdana" w:hAnsi="Verdana"/>
        </w:rPr>
      </w:pPr>
    </w:p>
    <w:p w14:paraId="3295ECE3" w14:textId="77777777" w:rsidR="007207E0" w:rsidRPr="00EC3270" w:rsidRDefault="007207E0" w:rsidP="007207E0">
      <w:pPr>
        <w:pStyle w:val="StyleZakonu"/>
        <w:spacing w:after="0" w:line="240" w:lineRule="auto"/>
        <w:ind w:right="139" w:firstLine="0"/>
        <w:rPr>
          <w:rFonts w:ascii="Verdana" w:hAnsi="Verdana"/>
        </w:rPr>
      </w:pPr>
      <w:r w:rsidRPr="00EC3270">
        <w:rPr>
          <w:rFonts w:ascii="Verdana" w:hAnsi="Verdana"/>
          <w:b/>
          <w:u w:val="single"/>
        </w:rPr>
        <w:t>Особи, пов’язані з політично значущими особами</w:t>
      </w:r>
      <w:r w:rsidRPr="00EC3270">
        <w:rPr>
          <w:rFonts w:ascii="Verdana" w:hAnsi="Verdana"/>
        </w:rPr>
        <w:t xml:space="preserve"> - фізичні особи, які відповідають хоча б одному з таких критеріїв:</w:t>
      </w:r>
    </w:p>
    <w:p w14:paraId="3CAD85A0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 xml:space="preserve">відомо, що такі особи мають спільне з політично значущою особою </w:t>
      </w:r>
      <w:proofErr w:type="spellStart"/>
      <w:r w:rsidRPr="00EC3270">
        <w:rPr>
          <w:rFonts w:ascii="Verdana" w:hAnsi="Verdana"/>
        </w:rPr>
        <w:t>бенефіціарне</w:t>
      </w:r>
      <w:proofErr w:type="spellEnd"/>
      <w:r w:rsidRPr="00EC3270">
        <w:rPr>
          <w:rFonts w:ascii="Verdana" w:hAnsi="Verdana"/>
        </w:rPr>
        <w:t xml:space="preserve"> володіння юридичною особою, трастом або іншим подібним правовим утворенням;</w:t>
      </w:r>
    </w:p>
    <w:p w14:paraId="67EC17B3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>мають будь-які інші тісні ділові зв’язки з політично значущими особами;</w:t>
      </w:r>
    </w:p>
    <w:p w14:paraId="6756204A" w14:textId="77777777" w:rsidR="007207E0" w:rsidRPr="00EC3270" w:rsidRDefault="007207E0" w:rsidP="002F0656">
      <w:pPr>
        <w:pStyle w:val="StyleZakonu"/>
        <w:numPr>
          <w:ilvl w:val="0"/>
          <w:numId w:val="7"/>
        </w:numPr>
        <w:spacing w:after="0" w:line="240" w:lineRule="auto"/>
        <w:ind w:left="709" w:right="139" w:hanging="218"/>
        <w:rPr>
          <w:rFonts w:ascii="Verdana" w:hAnsi="Verdana"/>
        </w:rPr>
      </w:pPr>
      <w:r w:rsidRPr="00EC3270">
        <w:rPr>
          <w:rFonts w:ascii="Verdana" w:hAnsi="Verdana"/>
        </w:rPr>
        <w:t xml:space="preserve">є кінцевими </w:t>
      </w:r>
      <w:proofErr w:type="spellStart"/>
      <w:r w:rsidRPr="00EC3270">
        <w:rPr>
          <w:rFonts w:ascii="Verdana" w:hAnsi="Verdana"/>
        </w:rPr>
        <w:t>бенефіціарними</w:t>
      </w:r>
      <w:proofErr w:type="spellEnd"/>
      <w:r w:rsidRPr="00EC3270">
        <w:rPr>
          <w:rFonts w:ascii="Verdana" w:hAnsi="Verdana"/>
        </w:rPr>
        <w:t xml:space="preserve"> власниками юридичної особи, трасту або іншого подібного правового утворення, про які відомо, що вони де-факто були утворені для вигоди політично значущих осіб.</w:t>
      </w:r>
    </w:p>
    <w:p w14:paraId="6E21B728" w14:textId="77777777" w:rsidR="007207E0" w:rsidRPr="00EC3270" w:rsidRDefault="007207E0" w:rsidP="007207E0">
      <w:pPr>
        <w:pStyle w:val="StyleZakonu"/>
        <w:spacing w:after="0" w:line="240" w:lineRule="auto"/>
        <w:ind w:right="139" w:firstLine="720"/>
        <w:rPr>
          <w:rFonts w:ascii="Verdana" w:hAnsi="Verdana"/>
        </w:rPr>
      </w:pPr>
    </w:p>
    <w:p w14:paraId="1E7C7889" w14:textId="77777777" w:rsidR="007207E0" w:rsidRPr="00EC3270" w:rsidRDefault="007207E0" w:rsidP="007207E0">
      <w:pPr>
        <w:pStyle w:val="StyleZakonu"/>
        <w:spacing w:after="0" w:line="240" w:lineRule="auto"/>
        <w:ind w:right="139" w:firstLine="0"/>
        <w:rPr>
          <w:rFonts w:ascii="Verdana" w:hAnsi="Verdana"/>
        </w:rPr>
      </w:pPr>
      <w:r w:rsidRPr="00EC3270">
        <w:rPr>
          <w:rFonts w:ascii="Verdana" w:hAnsi="Verdana"/>
          <w:b/>
          <w:u w:val="single"/>
        </w:rPr>
        <w:t>Члени сім’ї політично значущої особи</w:t>
      </w:r>
      <w:r w:rsidRPr="00EC3270">
        <w:rPr>
          <w:rFonts w:ascii="Verdana" w:hAnsi="Verdana"/>
        </w:rPr>
        <w:t xml:space="preserve"> - чоловік/дружина або прирівняні до них особи, син, дочка, пасинок, падчерка, усиновлена особа, особа, яка перебуває під опікою або піклуванням, зять та невістка і прирівняні до них особи, батько, мати, вітчим, мачуха, </w:t>
      </w:r>
      <w:proofErr w:type="spellStart"/>
      <w:r w:rsidRPr="00EC3270">
        <w:rPr>
          <w:rFonts w:ascii="Verdana" w:hAnsi="Verdana"/>
        </w:rPr>
        <w:t>усиновлювачі</w:t>
      </w:r>
      <w:proofErr w:type="spellEnd"/>
      <w:r w:rsidRPr="00EC3270">
        <w:rPr>
          <w:rFonts w:ascii="Verdana" w:hAnsi="Verdana"/>
        </w:rPr>
        <w:t>, опікуни чи піклувальники.</w:t>
      </w:r>
    </w:p>
    <w:p w14:paraId="2828F51D" w14:textId="5E694435" w:rsidR="007207E0" w:rsidRDefault="007207E0" w:rsidP="007207E0">
      <w:pPr>
        <w:tabs>
          <w:tab w:val="left" w:pos="0"/>
        </w:tabs>
        <w:spacing w:after="0" w:line="240" w:lineRule="auto"/>
        <w:ind w:right="139"/>
        <w:jc w:val="both"/>
        <w:rPr>
          <w:rFonts w:ascii="Verdana" w:hAnsi="Verdana"/>
          <w:sz w:val="20"/>
          <w:szCs w:val="20"/>
          <w:lang w:val="uk-UA"/>
        </w:rPr>
      </w:pPr>
    </w:p>
    <w:p w14:paraId="076A92BA" w14:textId="77777777" w:rsidR="00EC3270" w:rsidRPr="00EC3270" w:rsidRDefault="00EC3270" w:rsidP="007207E0">
      <w:pPr>
        <w:tabs>
          <w:tab w:val="left" w:pos="0"/>
        </w:tabs>
        <w:spacing w:after="0" w:line="240" w:lineRule="auto"/>
        <w:ind w:right="139"/>
        <w:jc w:val="both"/>
        <w:rPr>
          <w:rFonts w:ascii="Verdana" w:hAnsi="Verdana"/>
          <w:sz w:val="20"/>
          <w:szCs w:val="20"/>
          <w:lang w:val="uk-UA"/>
        </w:rPr>
      </w:pPr>
    </w:p>
    <w:p w14:paraId="46502F1A" w14:textId="77777777" w:rsidR="007207E0" w:rsidRPr="00EC3270" w:rsidRDefault="007207E0" w:rsidP="007207E0">
      <w:pPr>
        <w:pStyle w:val="a3"/>
        <w:tabs>
          <w:tab w:val="left" w:pos="0"/>
        </w:tabs>
        <w:ind w:right="139"/>
        <w:rPr>
          <w:rFonts w:ascii="Verdana" w:hAnsi="Verdana"/>
          <w:i/>
          <w:sz w:val="24"/>
        </w:rPr>
      </w:pPr>
      <w:r w:rsidRPr="00EC3270">
        <w:rPr>
          <w:rFonts w:ascii="Verdana" w:hAnsi="Verdana"/>
          <w:i/>
          <w:sz w:val="24"/>
        </w:rPr>
        <w:t xml:space="preserve">«Значення термінів кінцевий </w:t>
      </w:r>
      <w:proofErr w:type="spellStart"/>
      <w:r w:rsidRPr="00EC3270">
        <w:rPr>
          <w:rFonts w:ascii="Verdana" w:hAnsi="Verdana"/>
          <w:i/>
          <w:sz w:val="24"/>
        </w:rPr>
        <w:t>бенефіціарний</w:t>
      </w:r>
      <w:proofErr w:type="spellEnd"/>
      <w:r w:rsidRPr="00EC3270">
        <w:rPr>
          <w:rFonts w:ascii="Verdana" w:hAnsi="Verdana"/>
          <w:i/>
          <w:sz w:val="24"/>
        </w:rPr>
        <w:t xml:space="preserve"> власник та ознаки впливу» </w:t>
      </w:r>
    </w:p>
    <w:p w14:paraId="0D2BE2EC" w14:textId="77777777" w:rsidR="007207E0" w:rsidRPr="00EC3270" w:rsidRDefault="007207E0" w:rsidP="00EC3270">
      <w:pPr>
        <w:tabs>
          <w:tab w:val="left" w:pos="142"/>
        </w:tabs>
        <w:spacing w:after="0" w:line="240" w:lineRule="auto"/>
        <w:ind w:right="139"/>
        <w:rPr>
          <w:rFonts w:ascii="Verdana" w:hAnsi="Verdana"/>
          <w:i/>
          <w:sz w:val="14"/>
          <w:szCs w:val="14"/>
          <w:lang w:val="uk-UA"/>
        </w:rPr>
      </w:pPr>
      <w:r w:rsidRPr="00EC3270">
        <w:rPr>
          <w:rFonts w:ascii="Verdana" w:hAnsi="Verdana"/>
          <w:i/>
          <w:sz w:val="14"/>
          <w:szCs w:val="14"/>
          <w:lang w:val="uk-UA"/>
        </w:rPr>
        <w:t>терміни викладені  у значенні, згідно вимог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від 06 грудня  2019 року N361-IX</w:t>
      </w:r>
    </w:p>
    <w:p w14:paraId="7A0360EA" w14:textId="77777777" w:rsidR="007207E0" w:rsidRPr="00EC3270" w:rsidRDefault="007207E0" w:rsidP="007207E0">
      <w:pPr>
        <w:tabs>
          <w:tab w:val="left" w:pos="0"/>
        </w:tabs>
        <w:spacing w:after="0" w:line="240" w:lineRule="auto"/>
        <w:ind w:right="139"/>
        <w:jc w:val="both"/>
        <w:rPr>
          <w:rFonts w:ascii="Verdana" w:hAnsi="Verdana"/>
          <w:lang w:val="uk-UA"/>
        </w:rPr>
      </w:pPr>
    </w:p>
    <w:p w14:paraId="6EA9EC0A" w14:textId="77777777" w:rsidR="007207E0" w:rsidRPr="00EC3270" w:rsidRDefault="007207E0" w:rsidP="007207E0">
      <w:pPr>
        <w:tabs>
          <w:tab w:val="left" w:pos="0"/>
        </w:tabs>
        <w:spacing w:after="0" w:line="240" w:lineRule="auto"/>
        <w:ind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b/>
          <w:sz w:val="20"/>
          <w:szCs w:val="20"/>
          <w:u w:val="single"/>
          <w:lang w:val="uk-UA"/>
        </w:rPr>
        <w:t xml:space="preserve">Кінцевий </w:t>
      </w:r>
      <w:proofErr w:type="spellStart"/>
      <w:r w:rsidRPr="00EC3270">
        <w:rPr>
          <w:rFonts w:ascii="Verdana" w:hAnsi="Verdana"/>
          <w:b/>
          <w:sz w:val="20"/>
          <w:szCs w:val="20"/>
          <w:u w:val="single"/>
          <w:lang w:val="uk-UA"/>
        </w:rPr>
        <w:t>бенефіціарний</w:t>
      </w:r>
      <w:proofErr w:type="spellEnd"/>
      <w:r w:rsidRPr="00EC3270">
        <w:rPr>
          <w:rFonts w:ascii="Verdana" w:hAnsi="Verdana"/>
          <w:b/>
          <w:sz w:val="20"/>
          <w:szCs w:val="20"/>
          <w:u w:val="single"/>
          <w:lang w:val="uk-UA"/>
        </w:rPr>
        <w:t xml:space="preserve"> власник </w:t>
      </w:r>
      <w:r w:rsidRPr="00EC3270">
        <w:rPr>
          <w:rFonts w:ascii="Verdana" w:hAnsi="Verdana"/>
          <w:sz w:val="20"/>
          <w:szCs w:val="20"/>
          <w:lang w:val="uk-UA"/>
        </w:rPr>
        <w:t>— будь-яка фізична особа, яка здійснює вирішальний вплив (контроль) на діяльність клієнта та/або фізичну особу, від імені якої проводиться фінансова операція.</w:t>
      </w:r>
    </w:p>
    <w:p w14:paraId="07D11F5E" w14:textId="77777777" w:rsidR="007207E0" w:rsidRPr="00EC3270" w:rsidRDefault="007207E0" w:rsidP="00EC3270">
      <w:pPr>
        <w:tabs>
          <w:tab w:val="left" w:pos="0"/>
        </w:tabs>
        <w:spacing w:before="120" w:after="0" w:line="240" w:lineRule="auto"/>
        <w:ind w:right="142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u w:val="single"/>
          <w:lang w:val="uk-UA"/>
        </w:rPr>
        <w:t xml:space="preserve">Кінцевим </w:t>
      </w:r>
      <w:proofErr w:type="spellStart"/>
      <w:r w:rsidRPr="00EC3270">
        <w:rPr>
          <w:rFonts w:ascii="Verdana" w:hAnsi="Verdana"/>
          <w:sz w:val="20"/>
          <w:szCs w:val="20"/>
          <w:u w:val="single"/>
          <w:lang w:val="uk-UA"/>
        </w:rPr>
        <w:t>бенефіціарним</w:t>
      </w:r>
      <w:proofErr w:type="spellEnd"/>
      <w:r w:rsidRPr="00EC3270">
        <w:rPr>
          <w:rFonts w:ascii="Verdana" w:hAnsi="Verdana"/>
          <w:sz w:val="20"/>
          <w:szCs w:val="20"/>
          <w:u w:val="single"/>
          <w:lang w:val="uk-UA"/>
        </w:rPr>
        <w:t xml:space="preserve"> власником</w:t>
      </w:r>
      <w:r w:rsidRPr="00EC3270">
        <w:rPr>
          <w:rFonts w:ascii="Verdana" w:hAnsi="Verdana"/>
          <w:sz w:val="20"/>
          <w:szCs w:val="20"/>
          <w:lang w:val="uk-UA"/>
        </w:rPr>
        <w:t xml:space="preserve"> є:</w:t>
      </w:r>
    </w:p>
    <w:p w14:paraId="7CAD03A1" w14:textId="77777777" w:rsidR="007207E0" w:rsidRPr="00EC3270" w:rsidRDefault="007207E0" w:rsidP="00EC3270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67"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t>для юридичних осіб — будь-яка фізична особа, яка здійснює вирішальний вплив на діяльність юридичної особи (в тому числі через ланцюг контролю/володіння);</w:t>
      </w:r>
    </w:p>
    <w:p w14:paraId="14713752" w14:textId="77777777" w:rsidR="007207E0" w:rsidRPr="00EC3270" w:rsidRDefault="007207E0" w:rsidP="00EC3270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67"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t xml:space="preserve">для трастів, утворених відповідно до законодавства країни їх утворення — засновник, довірчий власник, захисник (за наявності), </w:t>
      </w:r>
      <w:proofErr w:type="spellStart"/>
      <w:r w:rsidRPr="00EC3270">
        <w:rPr>
          <w:rFonts w:ascii="Verdana" w:hAnsi="Verdana"/>
          <w:sz w:val="20"/>
          <w:szCs w:val="20"/>
          <w:lang w:val="uk-UA"/>
        </w:rPr>
        <w:t>вигодоодержувач</w:t>
      </w:r>
      <w:proofErr w:type="spellEnd"/>
      <w:r w:rsidRPr="00EC3270">
        <w:rPr>
          <w:rFonts w:ascii="Verdana" w:hAnsi="Verdana"/>
          <w:sz w:val="20"/>
          <w:szCs w:val="20"/>
          <w:lang w:val="uk-UA"/>
        </w:rPr>
        <w:t xml:space="preserve"> (</w:t>
      </w:r>
      <w:proofErr w:type="spellStart"/>
      <w:r w:rsidRPr="00EC3270">
        <w:rPr>
          <w:rFonts w:ascii="Verdana" w:hAnsi="Verdana"/>
          <w:sz w:val="20"/>
          <w:szCs w:val="20"/>
          <w:lang w:val="uk-UA"/>
        </w:rPr>
        <w:t>вигодонабувач</w:t>
      </w:r>
      <w:proofErr w:type="spellEnd"/>
      <w:r w:rsidRPr="00EC3270">
        <w:rPr>
          <w:rFonts w:ascii="Verdana" w:hAnsi="Verdana"/>
          <w:sz w:val="20"/>
          <w:szCs w:val="20"/>
          <w:lang w:val="uk-UA"/>
        </w:rPr>
        <w:t xml:space="preserve">) або група </w:t>
      </w:r>
      <w:proofErr w:type="spellStart"/>
      <w:r w:rsidRPr="00EC3270">
        <w:rPr>
          <w:rFonts w:ascii="Verdana" w:hAnsi="Verdana"/>
          <w:sz w:val="20"/>
          <w:szCs w:val="20"/>
          <w:lang w:val="uk-UA"/>
        </w:rPr>
        <w:t>вигодоодержувачів</w:t>
      </w:r>
      <w:proofErr w:type="spellEnd"/>
      <w:r w:rsidRPr="00EC3270">
        <w:rPr>
          <w:rFonts w:ascii="Verdana" w:hAnsi="Verdana"/>
          <w:sz w:val="20"/>
          <w:szCs w:val="20"/>
          <w:lang w:val="uk-UA"/>
        </w:rPr>
        <w:t xml:space="preserve"> (</w:t>
      </w:r>
      <w:proofErr w:type="spellStart"/>
      <w:r w:rsidRPr="00EC3270">
        <w:rPr>
          <w:rFonts w:ascii="Verdana" w:hAnsi="Verdana"/>
          <w:sz w:val="20"/>
          <w:szCs w:val="20"/>
          <w:lang w:val="uk-UA"/>
        </w:rPr>
        <w:t>вигодонабувачів</w:t>
      </w:r>
      <w:proofErr w:type="spellEnd"/>
      <w:r w:rsidRPr="00EC3270">
        <w:rPr>
          <w:rFonts w:ascii="Verdana" w:hAnsi="Verdana"/>
          <w:sz w:val="20"/>
          <w:szCs w:val="20"/>
          <w:lang w:val="uk-UA"/>
        </w:rPr>
        <w:t>), а також будь-яка інша фізична особа, яка здійснює вирішальний вплив на діяльність трасту (в тому числі через ланцюг контролю/володіння);</w:t>
      </w:r>
    </w:p>
    <w:p w14:paraId="5663F3C5" w14:textId="77777777" w:rsidR="007207E0" w:rsidRPr="00EC3270" w:rsidRDefault="007207E0" w:rsidP="00EC3270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567"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t>для інших подібних правових утворень — особа, яка має статус, еквівалентний або аналогічний особам, зазначеним для трастів.</w:t>
      </w:r>
    </w:p>
    <w:p w14:paraId="538BA222" w14:textId="77777777" w:rsidR="007207E0" w:rsidRPr="00EC3270" w:rsidRDefault="007207E0" w:rsidP="00EC3270">
      <w:pPr>
        <w:tabs>
          <w:tab w:val="left" w:pos="0"/>
        </w:tabs>
        <w:spacing w:before="120" w:after="0" w:line="240" w:lineRule="auto"/>
        <w:ind w:right="142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u w:val="single"/>
          <w:lang w:val="uk-UA"/>
        </w:rPr>
        <w:t>Ознакою здійснення прямого вирішального впливу</w:t>
      </w:r>
      <w:r w:rsidRPr="00EC3270">
        <w:rPr>
          <w:rFonts w:ascii="Verdana" w:hAnsi="Verdana"/>
          <w:sz w:val="20"/>
          <w:szCs w:val="20"/>
          <w:lang w:val="uk-UA"/>
        </w:rPr>
        <w:t xml:space="preserve"> на діяльність є безпосереднє володіння фізичною особою часткою у розмірі не менше 25 відсотків статутного (складеного) капіталу або прав голосу юридичної особи.</w:t>
      </w:r>
    </w:p>
    <w:p w14:paraId="2ED7DCD3" w14:textId="77777777" w:rsidR="007207E0" w:rsidRPr="00EC3270" w:rsidRDefault="007207E0" w:rsidP="00EC3270">
      <w:pPr>
        <w:tabs>
          <w:tab w:val="left" w:pos="0"/>
        </w:tabs>
        <w:spacing w:before="120" w:after="0" w:line="240" w:lineRule="auto"/>
        <w:ind w:right="142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u w:val="single"/>
          <w:lang w:val="uk-UA"/>
        </w:rPr>
        <w:t>Ознаками здійснення непрямого вирішального впливу на діяльність</w:t>
      </w:r>
      <w:r w:rsidRPr="00EC3270">
        <w:rPr>
          <w:rFonts w:ascii="Verdana" w:hAnsi="Verdana"/>
          <w:sz w:val="20"/>
          <w:szCs w:val="20"/>
          <w:lang w:val="uk-UA"/>
        </w:rPr>
        <w:t xml:space="preserve"> є принаймні:</w:t>
      </w:r>
    </w:p>
    <w:p w14:paraId="2A3F68C4" w14:textId="4657C9ED" w:rsidR="007207E0" w:rsidRPr="00EC3270" w:rsidRDefault="007207E0" w:rsidP="00EC3270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t>володіння фізичною особою часткою у розмірі не менше 25 відсотків статутного (складеного) капіталу або прав голосу юридичної особи через пов’язаних фізичних чи юридичних осіб, трасти або інші подібні правові утворення,</w:t>
      </w:r>
    </w:p>
    <w:p w14:paraId="5DA2E012" w14:textId="2228EFDF" w:rsidR="007207E0" w:rsidRPr="00EC3270" w:rsidRDefault="007207E0" w:rsidP="00EC3270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t>чи здійснення вирішального впливу шляхом реалізації права контролю, володіння, користування або розпорядження всіма активами чи їх часткою,</w:t>
      </w:r>
    </w:p>
    <w:p w14:paraId="4C7B0D92" w14:textId="41A82286" w:rsidR="007207E0" w:rsidRPr="00EC3270" w:rsidRDefault="007207E0" w:rsidP="00EC3270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t xml:space="preserve">права отримання доходів від діяльності юридичної особи, трасту або іншого подібного правового утворення, </w:t>
      </w:r>
    </w:p>
    <w:p w14:paraId="27C47D9F" w14:textId="285EF81A" w:rsidR="007207E0" w:rsidRPr="00EC3270" w:rsidRDefault="007207E0" w:rsidP="00EC3270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t>права вирішального впливу на формування складу, результати голосування органів управління, а також вчинення правочинів, які дають можливість визначати основні умови господарської діяльності юридичної особи, або діяльності трасту або іншого подібного правового утворення,</w:t>
      </w:r>
    </w:p>
    <w:p w14:paraId="3813FF99" w14:textId="7311033C" w:rsidR="007207E0" w:rsidRPr="00EC3270" w:rsidRDefault="007207E0" w:rsidP="00EC3270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567"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lastRenderedPageBreak/>
        <w:t>приймати обов’язкові до виконання рішення, що мають вирішальний вплив на діяльність юридичної особи, трасту або іншого подібного правового утворення, незалежно від формального володіння.</w:t>
      </w:r>
    </w:p>
    <w:p w14:paraId="72416B51" w14:textId="77777777" w:rsidR="007207E0" w:rsidRPr="00EC3270" w:rsidRDefault="007207E0" w:rsidP="00EC3270">
      <w:pPr>
        <w:tabs>
          <w:tab w:val="left" w:pos="0"/>
        </w:tabs>
        <w:spacing w:after="0" w:line="240" w:lineRule="auto"/>
        <w:ind w:right="139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sz w:val="20"/>
          <w:szCs w:val="20"/>
          <w:lang w:val="uk-UA"/>
        </w:rPr>
        <w:t xml:space="preserve">При цьому кінцевим </w:t>
      </w:r>
      <w:proofErr w:type="spellStart"/>
      <w:r w:rsidRPr="00EC3270">
        <w:rPr>
          <w:rFonts w:ascii="Verdana" w:hAnsi="Verdana"/>
          <w:sz w:val="20"/>
          <w:szCs w:val="20"/>
          <w:lang w:val="uk-UA"/>
        </w:rPr>
        <w:t>бенефіціарним</w:t>
      </w:r>
      <w:proofErr w:type="spellEnd"/>
      <w:r w:rsidRPr="00EC3270">
        <w:rPr>
          <w:rFonts w:ascii="Verdana" w:hAnsi="Verdana"/>
          <w:sz w:val="20"/>
          <w:szCs w:val="20"/>
          <w:lang w:val="uk-UA"/>
        </w:rPr>
        <w:t xml:space="preserve"> власником не може бути особа, яка має формальне право на 25 чи більше відсотків статутного капіталу або прав голосу в юридичній особі, але є комерційним агентом, номінальним власником або номінальним утримувачем, або лише посередником щодо такого права</w:t>
      </w:r>
    </w:p>
    <w:p w14:paraId="52BF015A" w14:textId="77777777" w:rsidR="007207E0" w:rsidRPr="00EC3270" w:rsidRDefault="007207E0" w:rsidP="007207E0">
      <w:pPr>
        <w:tabs>
          <w:tab w:val="left" w:pos="0"/>
        </w:tabs>
        <w:spacing w:after="0" w:line="240" w:lineRule="auto"/>
        <w:ind w:right="139" w:firstLine="709"/>
        <w:jc w:val="both"/>
        <w:rPr>
          <w:rFonts w:ascii="Verdana" w:hAnsi="Verdana"/>
          <w:lang w:val="uk-UA"/>
        </w:rPr>
      </w:pPr>
    </w:p>
    <w:p w14:paraId="04A3CE83" w14:textId="77777777" w:rsidR="007207E0" w:rsidRPr="00EC3270" w:rsidRDefault="007207E0" w:rsidP="007207E0">
      <w:pPr>
        <w:pStyle w:val="a3"/>
        <w:tabs>
          <w:tab w:val="left" w:pos="0"/>
        </w:tabs>
        <w:ind w:right="-568"/>
        <w:rPr>
          <w:rFonts w:ascii="Verdana" w:hAnsi="Verdana"/>
          <w:i/>
          <w:sz w:val="24"/>
          <w:szCs w:val="24"/>
        </w:rPr>
      </w:pPr>
      <w:r w:rsidRPr="00EC3270">
        <w:rPr>
          <w:rFonts w:ascii="Verdana" w:hAnsi="Verdana"/>
          <w:i/>
          <w:sz w:val="24"/>
          <w:szCs w:val="24"/>
        </w:rPr>
        <w:t xml:space="preserve">«Значення термінів, пов’язаних з діяльністю Пасивної нефінансової організації (НФО)» </w:t>
      </w:r>
    </w:p>
    <w:p w14:paraId="1B3631E3" w14:textId="77777777" w:rsidR="007207E0" w:rsidRPr="00EC3270" w:rsidRDefault="007207E0" w:rsidP="00EC3270">
      <w:pPr>
        <w:tabs>
          <w:tab w:val="left" w:pos="142"/>
        </w:tabs>
        <w:spacing w:after="0" w:line="240" w:lineRule="auto"/>
        <w:ind w:right="-568"/>
        <w:rPr>
          <w:rFonts w:ascii="Verdana" w:eastAsia="Times New Roman" w:hAnsi="Verdana"/>
          <w:i/>
          <w:sz w:val="16"/>
          <w:szCs w:val="16"/>
          <w:lang w:val="en-US" w:eastAsia="ru-RU"/>
        </w:rPr>
      </w:pPr>
      <w:r w:rsidRPr="00EC3270">
        <w:rPr>
          <w:rFonts w:ascii="Verdana" w:hAnsi="Verdana"/>
          <w:i/>
          <w:sz w:val="16"/>
          <w:szCs w:val="16"/>
          <w:lang w:val="uk-UA"/>
        </w:rPr>
        <w:t xml:space="preserve">терміни викладені  у визначенні згідно з міжнародною класифікацією </w:t>
      </w:r>
      <w:r w:rsidRPr="00EC3270">
        <w:rPr>
          <w:rFonts w:ascii="Verdana" w:eastAsia="Times New Roman" w:hAnsi="Verdana"/>
          <w:i/>
          <w:sz w:val="16"/>
          <w:szCs w:val="16"/>
          <w:lang w:val="en-US" w:eastAsia="ru-RU"/>
        </w:rPr>
        <w:t>Common</w:t>
      </w:r>
      <w:r w:rsidRPr="00EC3270">
        <w:rPr>
          <w:rFonts w:ascii="Verdana" w:eastAsia="Times New Roman" w:hAnsi="Verdana"/>
          <w:i/>
          <w:sz w:val="16"/>
          <w:szCs w:val="16"/>
          <w:lang w:val="uk-UA" w:eastAsia="ru-RU"/>
        </w:rPr>
        <w:t xml:space="preserve"> </w:t>
      </w:r>
      <w:r w:rsidRPr="00EC3270">
        <w:rPr>
          <w:rFonts w:ascii="Verdana" w:eastAsia="Times New Roman" w:hAnsi="Verdana"/>
          <w:i/>
          <w:sz w:val="16"/>
          <w:szCs w:val="16"/>
          <w:lang w:val="en-US" w:eastAsia="ru-RU"/>
        </w:rPr>
        <w:t>Reporting</w:t>
      </w:r>
      <w:r w:rsidRPr="00EC3270">
        <w:rPr>
          <w:rFonts w:ascii="Verdana" w:eastAsia="Times New Roman" w:hAnsi="Verdana"/>
          <w:i/>
          <w:sz w:val="16"/>
          <w:szCs w:val="16"/>
          <w:lang w:val="uk-UA" w:eastAsia="ru-RU"/>
        </w:rPr>
        <w:t xml:space="preserve"> </w:t>
      </w:r>
      <w:r w:rsidRPr="00EC3270">
        <w:rPr>
          <w:rFonts w:ascii="Verdana" w:eastAsia="Times New Roman" w:hAnsi="Verdana"/>
          <w:i/>
          <w:sz w:val="16"/>
          <w:szCs w:val="16"/>
          <w:lang w:val="en-US" w:eastAsia="ru-RU"/>
        </w:rPr>
        <w:t>Standards</w:t>
      </w:r>
      <w:r w:rsidRPr="00EC3270">
        <w:rPr>
          <w:rFonts w:ascii="Verdana" w:eastAsia="Times New Roman" w:hAnsi="Verdana"/>
          <w:i/>
          <w:sz w:val="16"/>
          <w:szCs w:val="16"/>
          <w:lang w:val="uk-UA" w:eastAsia="ru-RU"/>
        </w:rPr>
        <w:t xml:space="preserve"> (</w:t>
      </w:r>
      <w:r w:rsidRPr="00EC3270">
        <w:rPr>
          <w:rFonts w:ascii="Verdana" w:eastAsia="Times New Roman" w:hAnsi="Verdana"/>
          <w:i/>
          <w:sz w:val="16"/>
          <w:szCs w:val="16"/>
          <w:lang w:val="en-US" w:eastAsia="ru-RU"/>
        </w:rPr>
        <w:t>CRS</w:t>
      </w:r>
      <w:r w:rsidRPr="00EC3270">
        <w:rPr>
          <w:rFonts w:ascii="Verdana" w:eastAsia="Times New Roman" w:hAnsi="Verdana"/>
          <w:i/>
          <w:sz w:val="16"/>
          <w:szCs w:val="16"/>
          <w:lang w:val="uk-UA" w:eastAsia="ru-RU"/>
        </w:rPr>
        <w:t xml:space="preserve"> ) та </w:t>
      </w:r>
      <w:r w:rsidRPr="00EC3270">
        <w:rPr>
          <w:rFonts w:ascii="Verdana" w:eastAsia="Times New Roman" w:hAnsi="Verdana"/>
          <w:i/>
          <w:sz w:val="16"/>
          <w:szCs w:val="16"/>
          <w:lang w:val="en-US" w:eastAsia="ru-RU"/>
        </w:rPr>
        <w:t>FATCA</w:t>
      </w:r>
    </w:p>
    <w:p w14:paraId="09249115" w14:textId="77777777" w:rsidR="007207E0" w:rsidRPr="00EC3270" w:rsidRDefault="007207E0" w:rsidP="007207E0">
      <w:pPr>
        <w:tabs>
          <w:tab w:val="left" w:pos="142"/>
        </w:tabs>
        <w:spacing w:after="0" w:line="240" w:lineRule="auto"/>
        <w:ind w:right="-568"/>
        <w:jc w:val="center"/>
        <w:rPr>
          <w:rFonts w:ascii="Verdana" w:hAnsi="Verdana"/>
          <w:i/>
          <w:sz w:val="16"/>
          <w:szCs w:val="16"/>
          <w:lang w:val="uk-UA"/>
        </w:rPr>
      </w:pPr>
    </w:p>
    <w:p w14:paraId="5ADE8E45" w14:textId="77777777" w:rsidR="007207E0" w:rsidRPr="00EC3270" w:rsidRDefault="007207E0" w:rsidP="00EC3270">
      <w:pPr>
        <w:pStyle w:val="a5"/>
        <w:numPr>
          <w:ilvl w:val="0"/>
          <w:numId w:val="2"/>
        </w:numPr>
        <w:spacing w:after="160" w:line="259" w:lineRule="auto"/>
        <w:ind w:left="426" w:right="-2"/>
        <w:jc w:val="both"/>
        <w:rPr>
          <w:rFonts w:ascii="Verdana" w:hAnsi="Verdana"/>
          <w:sz w:val="20"/>
          <w:szCs w:val="20"/>
          <w:lang w:val="uk-UA"/>
        </w:rPr>
      </w:pPr>
      <w:r w:rsidRPr="00EC3270">
        <w:rPr>
          <w:rFonts w:ascii="Verdana" w:hAnsi="Verdana"/>
          <w:b/>
          <w:sz w:val="20"/>
          <w:szCs w:val="20"/>
          <w:u w:val="single"/>
          <w:lang w:val="uk-UA"/>
        </w:rPr>
        <w:t>Пасивна НФО</w:t>
      </w:r>
      <w:r w:rsidRPr="00EC3270">
        <w:rPr>
          <w:rFonts w:ascii="Verdana" w:hAnsi="Verdana"/>
          <w:sz w:val="20"/>
          <w:szCs w:val="20"/>
          <w:lang w:val="uk-UA"/>
        </w:rPr>
        <w:t xml:space="preserve"> – це юридична особа, яка не класифікується як фінансова установа / фінансовий інститут, і більше 50 % доходу такої юридичної особи за останній фіскальний рік складають пасивні доходи або вона володіє лише пасивними активами.</w:t>
      </w:r>
    </w:p>
    <w:p w14:paraId="2704DD63" w14:textId="77777777" w:rsidR="007207E0" w:rsidRPr="00EC3270" w:rsidRDefault="007207E0" w:rsidP="00CE21C0">
      <w:pPr>
        <w:pStyle w:val="StyleZakonu"/>
        <w:spacing w:after="0" w:line="240" w:lineRule="auto"/>
        <w:ind w:left="66" w:right="-2" w:firstLine="360"/>
        <w:rPr>
          <w:rFonts w:ascii="Verdana" w:hAnsi="Verdana"/>
        </w:rPr>
      </w:pPr>
      <w:r w:rsidRPr="00EC3270">
        <w:rPr>
          <w:rFonts w:ascii="Verdana" w:hAnsi="Verdana"/>
          <w:b/>
          <w:u w:val="single"/>
        </w:rPr>
        <w:t>Пасивні доходи</w:t>
      </w:r>
      <w:r w:rsidRPr="00EC3270">
        <w:rPr>
          <w:rFonts w:ascii="Verdana" w:hAnsi="Verdana"/>
        </w:rPr>
        <w:t xml:space="preserve"> – це доходи, згенеровані пасивними активами.</w:t>
      </w:r>
    </w:p>
    <w:p w14:paraId="00ADDD29" w14:textId="77777777" w:rsidR="007207E0" w:rsidRPr="00EC3270" w:rsidRDefault="007207E0" w:rsidP="00CE21C0">
      <w:pPr>
        <w:pStyle w:val="StyleZakonu"/>
        <w:spacing w:after="0" w:line="240" w:lineRule="auto"/>
        <w:ind w:left="66" w:right="-2" w:firstLine="360"/>
        <w:rPr>
          <w:rFonts w:ascii="Verdana" w:hAnsi="Verdana"/>
          <w:noProof/>
        </w:rPr>
      </w:pPr>
      <w:r w:rsidRPr="00EC3270">
        <w:rPr>
          <w:rFonts w:ascii="Verdana" w:hAnsi="Verdana"/>
        </w:rPr>
        <w:t>До пасивних доходів (включно, але не обмежуючись) відносяться:</w:t>
      </w:r>
    </w:p>
    <w:p w14:paraId="290A183B" w14:textId="77777777" w:rsidR="007207E0" w:rsidRPr="00EC3270" w:rsidRDefault="007207E0" w:rsidP="00CE21C0">
      <w:pPr>
        <w:pStyle w:val="StyleZakonu"/>
        <w:spacing w:after="0" w:line="240" w:lineRule="auto"/>
        <w:ind w:left="633" w:right="-2" w:firstLine="360"/>
        <w:rPr>
          <w:rFonts w:ascii="Verdana" w:hAnsi="Verdana"/>
          <w:noProof/>
        </w:rPr>
      </w:pPr>
      <w:r w:rsidRPr="00EC3270">
        <w:rPr>
          <w:rFonts w:ascii="Verdana" w:hAnsi="Verdana"/>
          <w:noProof/>
        </w:rPr>
        <w:t xml:space="preserve">а) </w:t>
      </w:r>
      <w:r w:rsidRPr="00EC3270">
        <w:rPr>
          <w:rFonts w:ascii="Verdana" w:hAnsi="Verdana"/>
          <w:i/>
          <w:iCs/>
          <w:noProof/>
          <w:u w:val="single"/>
        </w:rPr>
        <w:t>роялті</w:t>
      </w:r>
      <w:r w:rsidRPr="00EC3270">
        <w:rPr>
          <w:rFonts w:ascii="Verdana" w:hAnsi="Verdana"/>
          <w:noProof/>
        </w:rPr>
        <w:t xml:space="preserve"> – вид винагороди, періодична компенсація, як правило грошова, за використання патентів, авторських прав, франшиз, природніх ресурсів, інших видів інтелектуальної власності;</w:t>
      </w:r>
    </w:p>
    <w:p w14:paraId="03505AF7" w14:textId="443C60E0" w:rsidR="007207E0" w:rsidRPr="00EC3270" w:rsidRDefault="007207E0" w:rsidP="00CE21C0">
      <w:pPr>
        <w:pStyle w:val="StyleZakonu"/>
        <w:tabs>
          <w:tab w:val="left" w:pos="567"/>
        </w:tabs>
        <w:spacing w:after="0" w:line="240" w:lineRule="auto"/>
        <w:ind w:left="633" w:right="-2" w:firstLine="360"/>
        <w:rPr>
          <w:rFonts w:ascii="Verdana" w:hAnsi="Verdana"/>
          <w:noProof/>
        </w:rPr>
      </w:pPr>
      <w:r w:rsidRPr="00EC3270">
        <w:rPr>
          <w:rFonts w:ascii="Verdana" w:hAnsi="Verdana"/>
          <w:noProof/>
        </w:rPr>
        <w:t>б)</w:t>
      </w:r>
      <w:r w:rsidR="00EC3270">
        <w:rPr>
          <w:rFonts w:ascii="Verdana" w:hAnsi="Verdana"/>
          <w:noProof/>
        </w:rPr>
        <w:t xml:space="preserve"> </w:t>
      </w:r>
      <w:r w:rsidRPr="00EC3270">
        <w:rPr>
          <w:rFonts w:ascii="Verdana" w:hAnsi="Verdana"/>
          <w:i/>
          <w:iCs/>
          <w:noProof/>
          <w:u w:val="single"/>
        </w:rPr>
        <w:t>дивіденди</w:t>
      </w:r>
      <w:r w:rsidRPr="00EC3270">
        <w:rPr>
          <w:rFonts w:ascii="Verdana" w:hAnsi="Verdana"/>
          <w:noProof/>
        </w:rPr>
        <w:t xml:space="preserve"> – частина прибутку акціонерного товариства або іншого суб’єкта господарювання, який розподіляється між акціонерами, учасниками відповідно до кількості і видів акцій, дольової участі, що знаходяться у їх володінні;</w:t>
      </w:r>
    </w:p>
    <w:p w14:paraId="3CBE784E" w14:textId="77777777" w:rsidR="007207E0" w:rsidRPr="00EC3270" w:rsidRDefault="007207E0" w:rsidP="00CE21C0">
      <w:pPr>
        <w:pStyle w:val="StyleZakonu"/>
        <w:spacing w:after="0" w:line="240" w:lineRule="auto"/>
        <w:ind w:left="633" w:right="-2" w:firstLine="360"/>
        <w:rPr>
          <w:rFonts w:ascii="Verdana" w:hAnsi="Verdana"/>
          <w:noProof/>
        </w:rPr>
      </w:pPr>
      <w:r w:rsidRPr="00EC3270">
        <w:rPr>
          <w:rFonts w:ascii="Verdana" w:hAnsi="Verdana"/>
          <w:noProof/>
        </w:rPr>
        <w:t xml:space="preserve">в) </w:t>
      </w:r>
      <w:r w:rsidRPr="00EC3270">
        <w:rPr>
          <w:rFonts w:ascii="Verdana" w:hAnsi="Verdana"/>
          <w:i/>
          <w:iCs/>
          <w:noProof/>
          <w:u w:val="single"/>
        </w:rPr>
        <w:t>відсотки по депозитах</w:t>
      </w:r>
      <w:r w:rsidRPr="00EC3270">
        <w:rPr>
          <w:rFonts w:ascii="Verdana" w:hAnsi="Verdana"/>
          <w:noProof/>
        </w:rPr>
        <w:t xml:space="preserve"> - це відсоток за процентною ставкою, який банк зобов'язаний сплачувати своїм клієнтам за можливість користуватися грошовими коштами, які розміщуються на депозитному рахунку;</w:t>
      </w:r>
    </w:p>
    <w:p w14:paraId="721A1DDE" w14:textId="77777777" w:rsidR="007207E0" w:rsidRPr="00EC3270" w:rsidRDefault="007207E0" w:rsidP="00CE21C0">
      <w:pPr>
        <w:pStyle w:val="StyleZakonu"/>
        <w:spacing w:after="0" w:line="240" w:lineRule="auto"/>
        <w:ind w:left="633" w:right="-2" w:firstLine="360"/>
        <w:rPr>
          <w:rFonts w:ascii="Verdana" w:hAnsi="Verdana"/>
          <w:noProof/>
        </w:rPr>
      </w:pPr>
      <w:r w:rsidRPr="00EC3270">
        <w:rPr>
          <w:rFonts w:ascii="Verdana" w:hAnsi="Verdana"/>
          <w:noProof/>
        </w:rPr>
        <w:t xml:space="preserve">г) </w:t>
      </w:r>
      <w:r w:rsidRPr="00EC3270">
        <w:rPr>
          <w:rFonts w:ascii="Verdana" w:hAnsi="Verdana"/>
          <w:i/>
          <w:iCs/>
          <w:noProof/>
          <w:u w:val="single"/>
        </w:rPr>
        <w:t>орендна плата</w:t>
      </w:r>
      <w:r w:rsidRPr="00EC3270">
        <w:rPr>
          <w:rFonts w:ascii="Verdana" w:hAnsi="Verdana"/>
          <w:noProof/>
        </w:rPr>
        <w:t xml:space="preserve"> -  це фіксований платіж, тобто такий платіж, який орендар сплачує орендодавцю незалежно від наслідків своєї господарської діяльності. При цьому, має виконуватись умова, зокрема: надання в оренду власної або орендованої нерухомості не є професійною ліцензійною діяльністю орендодавця / суборендодавця / рієлтора;</w:t>
      </w:r>
    </w:p>
    <w:p w14:paraId="7F84E158" w14:textId="77777777" w:rsidR="00EC3270" w:rsidRDefault="007207E0" w:rsidP="00CE21C0">
      <w:pPr>
        <w:pStyle w:val="StyleZakonu"/>
        <w:spacing w:after="0" w:line="240" w:lineRule="auto"/>
        <w:ind w:left="633" w:right="-2" w:firstLine="360"/>
        <w:rPr>
          <w:rFonts w:ascii="Verdana" w:hAnsi="Verdana"/>
          <w:noProof/>
        </w:rPr>
      </w:pPr>
      <w:r w:rsidRPr="00EC3270">
        <w:rPr>
          <w:rFonts w:ascii="Verdana" w:hAnsi="Verdana"/>
          <w:noProof/>
        </w:rPr>
        <w:t xml:space="preserve">д) </w:t>
      </w:r>
      <w:r w:rsidRPr="00EC3270">
        <w:rPr>
          <w:rFonts w:ascii="Verdana" w:hAnsi="Verdana"/>
          <w:i/>
          <w:iCs/>
          <w:noProof/>
          <w:u w:val="single"/>
        </w:rPr>
        <w:t>доходи від торгової або комерційної діяльності</w:t>
      </w:r>
      <w:r w:rsidRPr="00EC3270">
        <w:rPr>
          <w:rFonts w:ascii="Verdana" w:hAnsi="Verdana"/>
          <w:noProof/>
        </w:rPr>
        <w:t>, якщо така діяльність протягом року не передбачала суттєвих матеріальних витрат часу на її ведення (наприклад, меньше 500 годин / рік),</w:t>
      </w:r>
      <w:r w:rsidR="00EC3270">
        <w:rPr>
          <w:rFonts w:ascii="Verdana" w:hAnsi="Verdana"/>
          <w:noProof/>
        </w:rPr>
        <w:t xml:space="preserve"> </w:t>
      </w:r>
    </w:p>
    <w:p w14:paraId="56C7DAEE" w14:textId="7C345A9B" w:rsidR="007207E0" w:rsidRPr="00EC3270" w:rsidRDefault="007207E0" w:rsidP="00CE21C0">
      <w:pPr>
        <w:pStyle w:val="StyleZakonu"/>
        <w:spacing w:after="0" w:line="240" w:lineRule="auto"/>
        <w:ind w:left="633" w:right="-2" w:firstLine="360"/>
        <w:rPr>
          <w:rFonts w:ascii="Verdana" w:hAnsi="Verdana"/>
          <w:noProof/>
        </w:rPr>
      </w:pPr>
      <w:r w:rsidRPr="00EC3270">
        <w:rPr>
          <w:rFonts w:ascii="Verdana" w:hAnsi="Verdana"/>
          <w:noProof/>
        </w:rPr>
        <w:t>тощо.</w:t>
      </w:r>
    </w:p>
    <w:p w14:paraId="4C26B241" w14:textId="77777777" w:rsidR="007207E0" w:rsidRPr="00EC3270" w:rsidRDefault="007207E0" w:rsidP="00CE21C0">
      <w:pPr>
        <w:pStyle w:val="StyleZakonu"/>
        <w:spacing w:after="0" w:line="240" w:lineRule="auto"/>
        <w:ind w:left="66" w:right="-2" w:firstLine="360"/>
        <w:rPr>
          <w:rFonts w:ascii="Verdana" w:hAnsi="Verdana"/>
          <w:noProof/>
        </w:rPr>
      </w:pPr>
    </w:p>
    <w:p w14:paraId="039140A2" w14:textId="77777777" w:rsidR="007207E0" w:rsidRPr="00EC3270" w:rsidRDefault="007207E0" w:rsidP="00CE21C0">
      <w:pPr>
        <w:pStyle w:val="Default"/>
        <w:ind w:left="492" w:hanging="66"/>
        <w:jc w:val="both"/>
        <w:rPr>
          <w:rFonts w:ascii="Verdana" w:eastAsia="Times New Roman" w:hAnsi="Verdana" w:cs="Times New Roman"/>
          <w:noProof/>
          <w:color w:val="auto"/>
          <w:sz w:val="20"/>
          <w:szCs w:val="20"/>
          <w:lang w:eastAsia="ru-RU"/>
        </w:rPr>
      </w:pPr>
      <w:r w:rsidRPr="00EC3270">
        <w:rPr>
          <w:rFonts w:ascii="Verdana" w:eastAsia="Times New Roman" w:hAnsi="Verdana" w:cs="Times New Roman"/>
          <w:b/>
          <w:bCs/>
          <w:noProof/>
          <w:color w:val="auto"/>
          <w:sz w:val="20"/>
          <w:szCs w:val="20"/>
          <w:u w:val="single"/>
          <w:lang w:eastAsia="ru-RU"/>
        </w:rPr>
        <w:t>Приклади пасивних НФО</w:t>
      </w:r>
      <w:r w:rsidRPr="00EC3270">
        <w:rPr>
          <w:rFonts w:ascii="Verdana" w:eastAsia="Times New Roman" w:hAnsi="Verdana" w:cs="Times New Roman"/>
          <w:noProof/>
          <w:color w:val="auto"/>
          <w:sz w:val="20"/>
          <w:szCs w:val="20"/>
          <w:lang w:eastAsia="ru-RU"/>
        </w:rPr>
        <w:t>:</w:t>
      </w:r>
    </w:p>
    <w:p w14:paraId="7669323B" w14:textId="77777777" w:rsidR="007207E0" w:rsidRPr="00EC3270" w:rsidRDefault="007207E0" w:rsidP="00CE21C0">
      <w:pPr>
        <w:pStyle w:val="Default"/>
        <w:ind w:left="775" w:firstLine="360"/>
        <w:jc w:val="both"/>
        <w:rPr>
          <w:rFonts w:ascii="Verdana" w:eastAsia="Times New Roman" w:hAnsi="Verdana" w:cs="Times New Roman"/>
          <w:noProof/>
          <w:color w:val="auto"/>
          <w:sz w:val="20"/>
          <w:szCs w:val="20"/>
          <w:lang w:eastAsia="ru-RU"/>
        </w:rPr>
      </w:pPr>
      <w:r w:rsidRPr="00EC3270">
        <w:rPr>
          <w:rFonts w:ascii="Verdana" w:eastAsia="Times New Roman" w:hAnsi="Verdana" w:cs="Times New Roman"/>
          <w:noProof/>
          <w:color w:val="auto"/>
          <w:sz w:val="20"/>
          <w:szCs w:val="20"/>
          <w:lang w:eastAsia="ru-RU"/>
        </w:rPr>
        <w:t>а) інвестиційні компанії, які знаходяться в управлінні інших фінансових інститутів та розміщені в юрисдикціях, які не беруть участі в обміні звітністю по CRS та/або FATCA (non-participating jurisdictions);</w:t>
      </w:r>
    </w:p>
    <w:p w14:paraId="3CB90828" w14:textId="77777777" w:rsidR="007207E0" w:rsidRPr="00EC3270" w:rsidRDefault="007207E0" w:rsidP="00CE21C0">
      <w:pPr>
        <w:pStyle w:val="Default"/>
        <w:ind w:left="775" w:firstLine="360"/>
        <w:jc w:val="both"/>
        <w:rPr>
          <w:rFonts w:ascii="Verdana" w:eastAsia="Times New Roman" w:hAnsi="Verdana" w:cs="Times New Roman"/>
          <w:noProof/>
          <w:color w:val="auto"/>
          <w:sz w:val="20"/>
          <w:szCs w:val="20"/>
          <w:lang w:eastAsia="ru-RU"/>
        </w:rPr>
      </w:pPr>
      <w:r w:rsidRPr="00EC3270">
        <w:rPr>
          <w:rFonts w:ascii="Verdana" w:eastAsia="Times New Roman" w:hAnsi="Verdana" w:cs="Times New Roman"/>
          <w:noProof/>
          <w:color w:val="auto"/>
          <w:sz w:val="20"/>
          <w:szCs w:val="20"/>
          <w:lang w:eastAsia="ru-RU"/>
        </w:rPr>
        <w:t xml:space="preserve">б) торгові компанії, холдингові компанії, які не здійснюють активну торгову діяльність і отримують дохід або генерують дивідендний дохід від власних активів таких, як нерухомість, акції, т.і. </w:t>
      </w:r>
    </w:p>
    <w:p w14:paraId="217AB0CA" w14:textId="7F5BB150" w:rsidR="007207E0" w:rsidRPr="00EC3270" w:rsidRDefault="007207E0" w:rsidP="007207E0">
      <w:pPr>
        <w:pStyle w:val="StyleZakonu"/>
        <w:spacing w:after="0" w:line="240" w:lineRule="auto"/>
        <w:ind w:right="-568" w:firstLine="0"/>
        <w:rPr>
          <w:rFonts w:ascii="Verdana" w:hAnsi="Verdana"/>
          <w:noProof/>
        </w:rPr>
      </w:pPr>
      <w:r w:rsidRPr="00EC3270">
        <w:rPr>
          <w:rFonts w:ascii="Verdana" w:hAnsi="Verdana"/>
          <w:noProof/>
        </w:rPr>
        <w:t>-------------------------------------------------------------------------------------------------------------------</w:t>
      </w:r>
    </w:p>
    <w:p w14:paraId="7ADCE914" w14:textId="77777777" w:rsidR="007207E0" w:rsidRPr="00EC3270" w:rsidRDefault="007207E0" w:rsidP="007207E0">
      <w:pPr>
        <w:pStyle w:val="StyleZakonu"/>
        <w:spacing w:after="0" w:line="240" w:lineRule="auto"/>
        <w:ind w:right="-568" w:firstLine="0"/>
        <w:rPr>
          <w:rFonts w:ascii="Verdana" w:hAnsi="Verdana"/>
          <w:noProof/>
        </w:rPr>
      </w:pPr>
    </w:p>
    <w:p w14:paraId="07E6B136" w14:textId="77777777" w:rsidR="007207E0" w:rsidRPr="00EC3270" w:rsidRDefault="007207E0" w:rsidP="00EC3270">
      <w:pPr>
        <w:spacing w:after="0" w:line="240" w:lineRule="auto"/>
        <w:ind w:left="708" w:hanging="708"/>
        <w:jc w:val="both"/>
        <w:rPr>
          <w:rFonts w:ascii="Verdana" w:hAnsi="Verdana" w:cs="Arial"/>
          <w:b/>
          <w:bCs/>
          <w:color w:val="2F5597"/>
          <w:sz w:val="20"/>
          <w:szCs w:val="20"/>
          <w:lang w:val="uk-UA" w:eastAsia="ru-RU"/>
        </w:rPr>
      </w:pPr>
      <w:r w:rsidRPr="00EC3270">
        <w:rPr>
          <w:rFonts w:ascii="Verdana" w:eastAsia="Times New Roman" w:hAnsi="Verdana"/>
          <w:b/>
          <w:bCs/>
          <w:noProof/>
          <w:sz w:val="20"/>
          <w:szCs w:val="20"/>
          <w:lang w:val="uk-UA" w:eastAsia="ru-RU"/>
        </w:rPr>
        <w:t xml:space="preserve">2. </w:t>
      </w:r>
      <w:r w:rsidRPr="00EC3270">
        <w:rPr>
          <w:rFonts w:ascii="Verdana" w:eastAsia="Times New Roman" w:hAnsi="Verdana"/>
          <w:b/>
          <w:bCs/>
          <w:noProof/>
          <w:sz w:val="20"/>
          <w:szCs w:val="20"/>
          <w:u w:val="single"/>
          <w:lang w:val="uk-UA" w:eastAsia="ru-RU"/>
        </w:rPr>
        <w:t>Термін «Підзвітна Особа»</w:t>
      </w:r>
      <w:r w:rsidRPr="00EC3270">
        <w:rPr>
          <w:rFonts w:ascii="Verdana" w:eastAsia="Times New Roman" w:hAnsi="Verdana"/>
          <w:b/>
          <w:bCs/>
          <w:noProof/>
          <w:sz w:val="20"/>
          <w:szCs w:val="20"/>
          <w:lang w:val="uk-UA" w:eastAsia="ru-RU"/>
        </w:rPr>
        <w:t xml:space="preserve"> означає: особу Підзвітної Юрисдикції, відмінну від</w:t>
      </w:r>
      <w:r w:rsidRPr="00EC3270">
        <w:rPr>
          <w:rFonts w:ascii="Verdana" w:hAnsi="Verdana" w:cs="Arial"/>
          <w:b/>
          <w:bCs/>
          <w:color w:val="2F5597"/>
          <w:sz w:val="20"/>
          <w:szCs w:val="20"/>
          <w:lang w:val="uk-UA" w:eastAsia="ru-RU"/>
        </w:rPr>
        <w:t>:</w:t>
      </w:r>
      <w:r w:rsidRPr="00EC3270">
        <w:rPr>
          <w:rFonts w:ascii="Verdana" w:hAnsi="Verdana" w:cs="Arial"/>
          <w:b/>
          <w:bCs/>
          <w:color w:val="2F5597"/>
          <w:sz w:val="20"/>
          <w:szCs w:val="20"/>
          <w:lang w:eastAsia="ru-RU"/>
        </w:rPr>
        <w:t> </w:t>
      </w:r>
    </w:p>
    <w:p w14:paraId="38290B5B" w14:textId="7383765C" w:rsidR="007207E0" w:rsidRPr="00470EF2" w:rsidRDefault="007207E0" w:rsidP="00CE21C0">
      <w:pPr>
        <w:spacing w:after="0" w:line="240" w:lineRule="auto"/>
        <w:ind w:left="993" w:hanging="28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EC3270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1) корпорації, акції якої регулярно торгуються на одному або декількох організованих ринках цінних паперів </w:t>
      </w:r>
      <w:r w:rsidRPr="00470EF2">
        <w:rPr>
          <w:rFonts w:ascii="Verdana" w:eastAsia="Times New Roman" w:hAnsi="Verdana"/>
          <w:noProof/>
          <w:sz w:val="20"/>
          <w:szCs w:val="20"/>
          <w:lang w:val="uk-UA" w:eastAsia="ru-RU"/>
        </w:rPr>
        <w:t>(</w:t>
      </w:r>
      <w:r w:rsidRPr="00470EF2">
        <w:rPr>
          <w:rFonts w:ascii="Verdana" w:eastAsia="Times New Roman" w:hAnsi="Verdana"/>
          <w:i/>
          <w:iCs/>
          <w:noProof/>
          <w:sz w:val="20"/>
          <w:szCs w:val="20"/>
          <w:u w:val="single"/>
          <w:lang w:val="uk-UA" w:eastAsia="ru-RU"/>
        </w:rPr>
        <w:t xml:space="preserve">вкажіть </w:t>
      </w:r>
      <w:r w:rsidR="00470EF2" w:rsidRPr="00470EF2">
        <w:rPr>
          <w:rFonts w:ascii="Verdana" w:eastAsia="Times New Roman" w:hAnsi="Verdana"/>
          <w:i/>
          <w:iCs/>
          <w:noProof/>
          <w:sz w:val="20"/>
          <w:szCs w:val="20"/>
          <w:u w:val="single"/>
          <w:lang w:val="uk-UA" w:eastAsia="ru-RU"/>
        </w:rPr>
        <w:t xml:space="preserve">в Опитувальнику </w:t>
      </w:r>
      <w:r w:rsidRPr="00470EF2">
        <w:rPr>
          <w:rFonts w:ascii="Verdana" w:eastAsia="Times New Roman" w:hAnsi="Verdana"/>
          <w:i/>
          <w:iCs/>
          <w:noProof/>
          <w:sz w:val="20"/>
          <w:szCs w:val="20"/>
          <w:u w:val="single"/>
          <w:lang w:val="uk-UA" w:eastAsia="ru-RU"/>
        </w:rPr>
        <w:t>назву організованих ринків ЦП та надайте виписку котирувань акцій</w:t>
      </w:r>
      <w:r w:rsidRPr="00470EF2">
        <w:rPr>
          <w:rFonts w:ascii="Verdana" w:eastAsia="Times New Roman" w:hAnsi="Verdana"/>
          <w:noProof/>
          <w:sz w:val="20"/>
          <w:szCs w:val="20"/>
          <w:lang w:val="uk-UA" w:eastAsia="ru-RU"/>
        </w:rPr>
        <w:t>); </w:t>
      </w:r>
    </w:p>
    <w:p w14:paraId="19A57861" w14:textId="77777777" w:rsidR="007207E0" w:rsidRPr="00470EF2" w:rsidRDefault="007207E0" w:rsidP="00CE21C0">
      <w:pPr>
        <w:spacing w:after="0" w:line="240" w:lineRule="auto"/>
        <w:ind w:left="993" w:hanging="28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470EF2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2) будь-якої корпорації, яка є Пов’язаною Організацією для корпорації, описаною в пункті (1) </w:t>
      </w:r>
    </w:p>
    <w:p w14:paraId="7C07DE4D" w14:textId="7AADB244" w:rsidR="007207E0" w:rsidRPr="00EC3270" w:rsidRDefault="007207E0" w:rsidP="00CE21C0">
      <w:pPr>
        <w:spacing w:after="0" w:line="240" w:lineRule="auto"/>
        <w:ind w:left="993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470EF2">
        <w:rPr>
          <w:rFonts w:ascii="Verdana" w:eastAsia="Times New Roman" w:hAnsi="Verdana"/>
          <w:noProof/>
          <w:sz w:val="20"/>
          <w:szCs w:val="20"/>
          <w:lang w:val="uk-UA" w:eastAsia="ru-RU"/>
        </w:rPr>
        <w:t>(</w:t>
      </w:r>
      <w:r w:rsidRPr="00470EF2">
        <w:rPr>
          <w:rFonts w:ascii="Verdana" w:eastAsia="Times New Roman" w:hAnsi="Verdana"/>
          <w:i/>
          <w:iCs/>
          <w:noProof/>
          <w:sz w:val="20"/>
          <w:szCs w:val="20"/>
          <w:u w:val="single"/>
          <w:lang w:val="uk-UA" w:eastAsia="ru-RU"/>
        </w:rPr>
        <w:t xml:space="preserve">вкажіть </w:t>
      </w:r>
      <w:r w:rsidR="00470EF2" w:rsidRPr="00470EF2">
        <w:rPr>
          <w:rFonts w:ascii="Verdana" w:eastAsia="Times New Roman" w:hAnsi="Verdana"/>
          <w:i/>
          <w:iCs/>
          <w:noProof/>
          <w:sz w:val="20"/>
          <w:szCs w:val="20"/>
          <w:u w:val="single"/>
          <w:lang w:val="uk-UA" w:eastAsia="ru-RU"/>
        </w:rPr>
        <w:t xml:space="preserve">в Опитувальнику </w:t>
      </w:r>
      <w:r w:rsidRPr="00470EF2">
        <w:rPr>
          <w:rFonts w:ascii="Verdana" w:eastAsia="Times New Roman" w:hAnsi="Verdana"/>
          <w:i/>
          <w:iCs/>
          <w:noProof/>
          <w:sz w:val="20"/>
          <w:szCs w:val="20"/>
          <w:u w:val="single"/>
          <w:lang w:val="uk-UA" w:eastAsia="ru-RU"/>
        </w:rPr>
        <w:t>назву пов’язаної / affiliated корпорації, назву організованих ринків ЦП та надайте виписку котирувань акцій такої пов’язаної / affiliated корпорації</w:t>
      </w:r>
      <w:r w:rsidRPr="00470EF2">
        <w:rPr>
          <w:rFonts w:ascii="Verdana" w:eastAsia="Times New Roman" w:hAnsi="Verdana"/>
          <w:noProof/>
          <w:sz w:val="20"/>
          <w:szCs w:val="20"/>
          <w:lang w:val="uk-UA" w:eastAsia="ru-RU"/>
        </w:rPr>
        <w:t>);</w:t>
      </w:r>
      <w:r w:rsidRPr="00EC3270">
        <w:rPr>
          <w:rFonts w:ascii="Verdana" w:eastAsia="Times New Roman" w:hAnsi="Verdana"/>
          <w:noProof/>
          <w:sz w:val="20"/>
          <w:szCs w:val="20"/>
          <w:lang w:val="uk-UA" w:eastAsia="ru-RU"/>
        </w:rPr>
        <w:t> </w:t>
      </w:r>
    </w:p>
    <w:p w14:paraId="54E83199" w14:textId="77777777" w:rsidR="007207E0" w:rsidRPr="00EC3270" w:rsidRDefault="007207E0" w:rsidP="00CE21C0">
      <w:pPr>
        <w:spacing w:after="0" w:line="240" w:lineRule="auto"/>
        <w:ind w:left="993" w:hanging="28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EC3270">
        <w:rPr>
          <w:rFonts w:ascii="Verdana" w:eastAsia="Times New Roman" w:hAnsi="Verdana"/>
          <w:noProof/>
          <w:sz w:val="20"/>
          <w:szCs w:val="20"/>
          <w:lang w:val="uk-UA" w:eastAsia="ru-RU"/>
        </w:rPr>
        <w:t>3) Урядової Організації; </w:t>
      </w:r>
    </w:p>
    <w:p w14:paraId="6AC39DB6" w14:textId="77777777" w:rsidR="007207E0" w:rsidRPr="00EC3270" w:rsidRDefault="007207E0" w:rsidP="00CE21C0">
      <w:pPr>
        <w:spacing w:after="0" w:line="240" w:lineRule="auto"/>
        <w:ind w:left="993" w:hanging="28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EC3270">
        <w:rPr>
          <w:rFonts w:ascii="Verdana" w:eastAsia="Times New Roman" w:hAnsi="Verdana"/>
          <w:noProof/>
          <w:sz w:val="20"/>
          <w:szCs w:val="20"/>
          <w:lang w:val="uk-UA" w:eastAsia="ru-RU"/>
        </w:rPr>
        <w:t>4) Міжнародної Організації; </w:t>
      </w:r>
    </w:p>
    <w:p w14:paraId="6D8634DE" w14:textId="77777777" w:rsidR="007207E0" w:rsidRPr="00EC3270" w:rsidRDefault="007207E0" w:rsidP="00CE21C0">
      <w:pPr>
        <w:spacing w:after="0" w:line="240" w:lineRule="auto"/>
        <w:ind w:left="993" w:hanging="28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EC3270">
        <w:rPr>
          <w:rFonts w:ascii="Verdana" w:eastAsia="Times New Roman" w:hAnsi="Verdana"/>
          <w:noProof/>
          <w:sz w:val="20"/>
          <w:szCs w:val="20"/>
          <w:lang w:val="uk-UA" w:eastAsia="ru-RU"/>
        </w:rPr>
        <w:t>5) Центрального Банку; або </w:t>
      </w:r>
    </w:p>
    <w:p w14:paraId="50A71C1D" w14:textId="77777777" w:rsidR="007207E0" w:rsidRPr="00EC3270" w:rsidRDefault="007207E0" w:rsidP="00CE21C0">
      <w:pPr>
        <w:spacing w:after="0" w:line="240" w:lineRule="auto"/>
        <w:ind w:left="993" w:hanging="284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EC3270">
        <w:rPr>
          <w:rFonts w:ascii="Verdana" w:eastAsia="Times New Roman" w:hAnsi="Verdana"/>
          <w:noProof/>
          <w:sz w:val="20"/>
          <w:szCs w:val="20"/>
          <w:lang w:val="uk-UA" w:eastAsia="ru-RU"/>
        </w:rPr>
        <w:t>6) Фінансової Установи.</w:t>
      </w:r>
    </w:p>
    <w:p w14:paraId="2B6B0099" w14:textId="77777777" w:rsidR="001567C9" w:rsidRPr="00EC3270" w:rsidRDefault="001567C9">
      <w:pPr>
        <w:rPr>
          <w:rFonts w:ascii="Verdana" w:hAnsi="Verdana"/>
        </w:rPr>
      </w:pPr>
    </w:p>
    <w:sectPr w:rsidR="001567C9" w:rsidRPr="00EC3270" w:rsidSect="00EC3270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3345" w14:textId="77777777" w:rsidR="007207E0" w:rsidRDefault="007207E0" w:rsidP="007207E0">
      <w:pPr>
        <w:spacing w:after="0" w:line="240" w:lineRule="auto"/>
      </w:pPr>
      <w:r>
        <w:separator/>
      </w:r>
    </w:p>
  </w:endnote>
  <w:endnote w:type="continuationSeparator" w:id="0">
    <w:p w14:paraId="7372FFAA" w14:textId="77777777" w:rsidR="007207E0" w:rsidRDefault="007207E0" w:rsidP="0072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F6D0" w14:textId="77777777" w:rsidR="007207E0" w:rsidRDefault="007207E0" w:rsidP="007207E0">
      <w:pPr>
        <w:spacing w:after="0" w:line="240" w:lineRule="auto"/>
      </w:pPr>
      <w:r>
        <w:separator/>
      </w:r>
    </w:p>
  </w:footnote>
  <w:footnote w:type="continuationSeparator" w:id="0">
    <w:p w14:paraId="5F0C7818" w14:textId="77777777" w:rsidR="007207E0" w:rsidRDefault="007207E0" w:rsidP="0072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3795"/>
    <w:multiLevelType w:val="hybridMultilevel"/>
    <w:tmpl w:val="00EC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0BE4"/>
    <w:multiLevelType w:val="hybridMultilevel"/>
    <w:tmpl w:val="A94EB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92F76"/>
    <w:multiLevelType w:val="hybridMultilevel"/>
    <w:tmpl w:val="05FE2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584E79"/>
    <w:multiLevelType w:val="hybridMultilevel"/>
    <w:tmpl w:val="9F3C6B38"/>
    <w:lvl w:ilvl="0" w:tplc="58BC7D1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2E6DB0"/>
    <w:multiLevelType w:val="hybridMultilevel"/>
    <w:tmpl w:val="9208B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A72AF3"/>
    <w:multiLevelType w:val="hybridMultilevel"/>
    <w:tmpl w:val="58A6755E"/>
    <w:lvl w:ilvl="0" w:tplc="A20AC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2A28"/>
    <w:multiLevelType w:val="hybridMultilevel"/>
    <w:tmpl w:val="DC983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C87479"/>
    <w:multiLevelType w:val="hybridMultilevel"/>
    <w:tmpl w:val="20B64F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E0"/>
    <w:rsid w:val="001567C9"/>
    <w:rsid w:val="002F0656"/>
    <w:rsid w:val="00330731"/>
    <w:rsid w:val="00470EF2"/>
    <w:rsid w:val="00551D87"/>
    <w:rsid w:val="00626593"/>
    <w:rsid w:val="007207E0"/>
    <w:rsid w:val="00B51E4D"/>
    <w:rsid w:val="00BC6A33"/>
    <w:rsid w:val="00CE21C0"/>
    <w:rsid w:val="00EC3270"/>
    <w:rsid w:val="00EF5CF1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25D7E"/>
  <w15:chartTrackingRefBased/>
  <w15:docId w15:val="{9AC1DEA1-FE53-4845-AB3D-04F2B3C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207E0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uiPriority w:val="99"/>
    <w:rsid w:val="007207E0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customStyle="1" w:styleId="-21">
    <w:name w:val="Светлая заливка - Акцент 21"/>
    <w:basedOn w:val="a"/>
    <w:next w:val="a"/>
    <w:link w:val="-2"/>
    <w:uiPriority w:val="99"/>
    <w:qFormat/>
    <w:rsid w:val="007207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uk-UA"/>
    </w:rPr>
  </w:style>
  <w:style w:type="character" w:customStyle="1" w:styleId="-2">
    <w:name w:val="Светлая заливка - Акцент 2 Знак"/>
    <w:link w:val="-21"/>
    <w:uiPriority w:val="99"/>
    <w:rsid w:val="007207E0"/>
    <w:rPr>
      <w:rFonts w:ascii="Calibri" w:eastAsia="Calibri" w:hAnsi="Calibri" w:cs="Times New Roman"/>
      <w:b/>
      <w:bCs/>
      <w:i/>
      <w:iCs/>
      <w:color w:val="4F81BD"/>
      <w:lang w:val="uk-UA"/>
    </w:rPr>
  </w:style>
  <w:style w:type="paragraph" w:customStyle="1" w:styleId="Default">
    <w:name w:val="Default"/>
    <w:qFormat/>
    <w:rsid w:val="007207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/>
    </w:rPr>
  </w:style>
  <w:style w:type="paragraph" w:styleId="a5">
    <w:name w:val="List Paragraph"/>
    <w:basedOn w:val="a"/>
    <w:link w:val="a6"/>
    <w:uiPriority w:val="34"/>
    <w:qFormat/>
    <w:rsid w:val="007207E0"/>
    <w:pPr>
      <w:ind w:left="720"/>
      <w:contextualSpacing/>
    </w:pPr>
  </w:style>
  <w:style w:type="paragraph" w:customStyle="1" w:styleId="StyleZakonu">
    <w:name w:val="StyleZakonu"/>
    <w:basedOn w:val="a"/>
    <w:link w:val="StyleZakonu0"/>
    <w:rsid w:val="007207E0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StyleZakonu0">
    <w:name w:val="StyleZakonu Знак"/>
    <w:link w:val="StyleZakonu"/>
    <w:locked/>
    <w:rsid w:val="007207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Абзац списку Знак"/>
    <w:link w:val="a5"/>
    <w:uiPriority w:val="34"/>
    <w:locked/>
    <w:rsid w:val="007207E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0032C-9AE1-4EB1-8235-25B6C98E9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87BC3-AF89-4AF8-B05F-97C4667C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193607-2DB4-485B-9BF7-9A86B0B615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Гонгало Юлія Анатоліївна</dc:creator>
  <cp:keywords/>
  <dc:description/>
  <cp:lastModifiedBy>Комаревич Лідія Олександрівна</cp:lastModifiedBy>
  <cp:revision>3</cp:revision>
  <dcterms:created xsi:type="dcterms:W3CDTF">2023-06-27T11:38:00Z</dcterms:created>
  <dcterms:modified xsi:type="dcterms:W3CDTF">2023-06-29T12:33:00Z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