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E1BA" w14:textId="77777777" w:rsidR="00ED1109" w:rsidRDefault="00ED1109" w:rsidP="00ED1109">
      <w:pPr>
        <w:pStyle w:val="xxxxxxmsonormal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 xml:space="preserve">ЗАКОН </w:t>
      </w:r>
      <w:proofErr w:type="gramStart"/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>УКРАЇНИ</w:t>
      </w:r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  <w:lang w:val="uk-UA"/>
        </w:rPr>
        <w:t>  </w:t>
      </w:r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>Про</w:t>
      </w:r>
      <w:proofErr w:type="gramEnd"/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 xml:space="preserve"> валюту і </w:t>
      </w:r>
      <w:proofErr w:type="spellStart"/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>валютні</w:t>
      </w:r>
      <w:proofErr w:type="spellEnd"/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>операції</w:t>
      </w:r>
      <w:proofErr w:type="spellEnd"/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2F5597"/>
          <w:sz w:val="22"/>
          <w:szCs w:val="22"/>
          <w:bdr w:val="none" w:sz="0" w:space="0" w:color="auto" w:frame="1"/>
          <w:lang w:val="uk-UA"/>
        </w:rPr>
        <w:t>№ 2473-VIII від 21.06.2018 р.</w:t>
      </w:r>
    </w:p>
    <w:p w14:paraId="4DA243AF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Стаття 1. Визначення термінів</w:t>
      </w:r>
    </w:p>
    <w:p w14:paraId="650B635E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bookmarkStart w:id="0" w:name="x_x_x_n7"/>
      <w:bookmarkEnd w:id="0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1. У цьому Законі терміни вживаються в такому значенні:</w:t>
      </w:r>
    </w:p>
    <w:p w14:paraId="00F00257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242424"/>
          <w:sz w:val="22"/>
          <w:szCs w:val="22"/>
        </w:rPr>
      </w:pPr>
      <w:bookmarkStart w:id="1" w:name="x_x_x_n8"/>
      <w:bookmarkEnd w:id="1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1) 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валютна операція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 - операція, що має хоча б одну з таких ознак:</w:t>
      </w:r>
    </w:p>
    <w:p w14:paraId="12967A62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2832"/>
        <w:rPr>
          <w:rFonts w:ascii="Calibri" w:hAnsi="Calibri" w:cs="Calibri"/>
          <w:color w:val="242424"/>
          <w:sz w:val="22"/>
          <w:szCs w:val="22"/>
        </w:rPr>
      </w:pPr>
      <w:bookmarkStart w:id="2" w:name="x_x_x_n9"/>
      <w:bookmarkEnd w:id="2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а) 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операція, пов’язана з переходом права власності на валютні цінності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 та (або) права вимоги і пов’язаних з цим зобов’язань, предметом яких є валютні цінності, 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між 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резидентами, нерезидентами, а також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 резидентами і нерезидентами,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 крім операцій, що здійснюються між резидентами, якщо такими валютними цінностями є національна валюта;</w:t>
      </w:r>
    </w:p>
    <w:p w14:paraId="31E1AC9D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2832"/>
        <w:rPr>
          <w:rFonts w:ascii="Calibri" w:hAnsi="Calibri" w:cs="Calibri"/>
          <w:color w:val="242424"/>
          <w:sz w:val="22"/>
          <w:szCs w:val="22"/>
        </w:rPr>
      </w:pPr>
      <w:bookmarkStart w:id="3" w:name="x_x_x_n10"/>
      <w:bookmarkEnd w:id="3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б) торгівля валютними цінностями;</w:t>
      </w:r>
    </w:p>
    <w:p w14:paraId="39A7CC0E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2832"/>
        <w:rPr>
          <w:rFonts w:ascii="Calibri" w:hAnsi="Calibri" w:cs="Calibri"/>
          <w:color w:val="242424"/>
          <w:sz w:val="22"/>
          <w:szCs w:val="22"/>
        </w:rPr>
      </w:pPr>
      <w:bookmarkStart w:id="4" w:name="x_x_x_n11"/>
      <w:bookmarkEnd w:id="4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в) транскордонний переказ валютних цінностей та транскордонне переміщення валютних цінностей;</w:t>
      </w:r>
    </w:p>
    <w:p w14:paraId="754BFC14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…</w:t>
      </w:r>
    </w:p>
    <w:p w14:paraId="7F127C41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4) 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валютні цінності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 - національна валюта (гривня), іноземна валюта та банківські метали;</w:t>
      </w:r>
    </w:p>
    <w:p w14:paraId="0335C686" w14:textId="77777777" w:rsidR="00ED1109" w:rsidRDefault="00ED1109" w:rsidP="00ED1109">
      <w:pPr>
        <w:pStyle w:val="xxxxxxmsonormal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 </w:t>
      </w:r>
    </w:p>
    <w:p w14:paraId="410DAE5D" w14:textId="77777777" w:rsidR="00ED1109" w:rsidRDefault="00ED1109" w:rsidP="00ED1109">
      <w:pPr>
        <w:pStyle w:val="xxxxxxmsonormal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 xml:space="preserve">Посилання на пункти Постанови НБУ №5 від 02.01.2019 щодо необхідності здійснення валютного контролю операцій (в </w:t>
      </w:r>
      <w:proofErr w:type="spellStart"/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т.ч</w:t>
      </w:r>
      <w:proofErr w:type="spellEnd"/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. в гривні):</w:t>
      </w:r>
    </w:p>
    <w:p w14:paraId="44E6FBA8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 xml:space="preserve">130. Банк з метою забезпечення функцій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агента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 xml:space="preserve"> валютного нагляду за операціями його клієнта (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юридичної особи - нерезидента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), що визначені в пунктах 127 та 128 розділу 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X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 цього Положення, зобов'язаний попередньо зарахувати кошти, що надходять цьому клієнту, 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на розподільчий рахунок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 (крім коштів, одержаних за операціями з торгівлі іноземною валютою на валютному ринку України, переказаних з інших власних рахунків цього клієнта, у вигляді процентів, нарахованих за залишком коштів на рахунку клієнта).</w:t>
      </w:r>
    </w:p>
    <w:p w14:paraId="6C512CA7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Банку дозволяється переказувати кошти з розподільчого рахунку на поточний рахунок клієнта (юридичної особи - нерезидента) за умови </w:t>
      </w:r>
      <w:r>
        <w:rPr>
          <w:rFonts w:ascii="Calibri" w:hAnsi="Calibri" w:cs="Calibri"/>
          <w:b/>
          <w:bCs/>
          <w:color w:val="203864"/>
          <w:sz w:val="22"/>
          <w:szCs w:val="22"/>
          <w:bdr w:val="none" w:sz="0" w:space="0" w:color="auto" w:frame="1"/>
          <w:lang w:val="uk-UA"/>
        </w:rPr>
        <w:t>наявності в банку документів 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  <w:lang w:val="uk-UA"/>
        </w:rPr>
        <w:t>(інформації), що підтверджують відповідність операції цього клієнта вимогам законодавства України, цього Положення. </w:t>
      </w: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Банк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зобов'язаний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повернути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кошти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відправникові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якщо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немає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цих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документів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інформації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).</w:t>
      </w:r>
    </w:p>
    <w:p w14:paraId="012AED98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Строк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обліку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коштів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що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надходять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на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користь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клієнта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юридичної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особи - нерезидента), на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рахунку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зазначеному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в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абзаці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першому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пункту 130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розділу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X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цього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Положення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, не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може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перевищувати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трьох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робочих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днів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(не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враховуючи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день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зарахування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коштів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на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цей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рахунок</w:t>
      </w:r>
      <w:proofErr w:type="spellEnd"/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).</w:t>
      </w:r>
    </w:p>
    <w:p w14:paraId="66E99B7C" w14:textId="77777777" w:rsidR="00ED1109" w:rsidRDefault="00ED1109" w:rsidP="00ED1109">
      <w:pPr>
        <w:pStyle w:val="xxxxxxmsonormal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</w:p>
    <w:p w14:paraId="2AFED7E4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135</w:t>
        </w:r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  <w:vertAlign w:val="superscript"/>
          </w:rPr>
          <w:t>2</w:t>
        </w:r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. Банк для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здійснення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валютного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нагляду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за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операціями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їх</w:t>
        </w:r>
        <w:proofErr w:type="spellEnd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 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клієнтів-резидентів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 </w:t>
        </w:r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у 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національній</w:t>
        </w:r>
        <w:proofErr w:type="spellEnd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валюті</w:t>
        </w:r>
        <w:proofErr w:type="spellEnd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 з нерезидентами</w:t>
        </w:r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 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має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право (за потреби)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попередньо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зарахувати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кошти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в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гривнях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,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що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надходять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на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поточні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рахунки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цих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клієнтів-резидентів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із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поточних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рахунків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нерезидентів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,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відкритих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gram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у банках</w:t>
        </w:r>
        <w:proofErr w:type="gram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, на:</w:t>
        </w:r>
      </w:hyperlink>
    </w:p>
    <w:p w14:paraId="0DACFDBA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hyperlink r:id="rId5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1) 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розподільчий</w:t>
        </w:r>
        <w:proofErr w:type="spellEnd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рахунок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 за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операціями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клієнта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-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юридичної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особи;</w:t>
        </w:r>
      </w:hyperlink>
    </w:p>
    <w:p w14:paraId="408E8F61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2) на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рахунок</w:t>
        </w:r>
        <w:proofErr w:type="spellEnd"/>
      </w:hyperlink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  <w:hyperlink r:id="rId7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2942</w:t>
        </w:r>
      </w:hyperlink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  <w:hyperlink r:id="rId8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за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операціями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клієнта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-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фізичної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особи.</w:t>
        </w:r>
      </w:hyperlink>
    </w:p>
    <w:p w14:paraId="381F48AA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hyperlink r:id="rId9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Банк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переказує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кошти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з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розподільчого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рахунку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/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рахунку</w:t>
        </w:r>
        <w:proofErr w:type="spellEnd"/>
      </w:hyperlink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  <w:hyperlink r:id="rId10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2942</w:t>
        </w:r>
      </w:hyperlink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  <w:hyperlink r:id="rId11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на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поточний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рахунок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клієнта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-резидента </w:t>
        </w:r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за 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умови</w:t>
        </w:r>
        <w:proofErr w:type="spellEnd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наявності</w:t>
        </w:r>
        <w:proofErr w:type="spellEnd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 xml:space="preserve"> в банку </w:t>
        </w:r>
        <w:proofErr w:type="spellStart"/>
        <w:r>
          <w:rPr>
            <w:rStyle w:val="a3"/>
            <w:rFonts w:ascii="Calibri" w:hAnsi="Calibri" w:cs="Calibri"/>
            <w:b/>
            <w:bCs/>
            <w:color w:val="203864"/>
            <w:sz w:val="22"/>
            <w:szCs w:val="22"/>
            <w:bdr w:val="none" w:sz="0" w:space="0" w:color="auto" w:frame="1"/>
          </w:rPr>
          <w:t>документів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 (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інформації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),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що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підтверджують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відповідність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операції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в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національній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валюті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вимогам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законодавства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України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,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цього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Положення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. Банк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повертає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кошти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відправникові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,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якщо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в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нього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немає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цих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документів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(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інформації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).</w:t>
        </w:r>
      </w:hyperlink>
    </w:p>
    <w:p w14:paraId="23338617" w14:textId="77777777" w:rsidR="00ED1109" w:rsidRDefault="00ED1109" w:rsidP="00ED1109">
      <w:pPr>
        <w:pStyle w:val="xxxxxxtj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242424"/>
          <w:sz w:val="22"/>
          <w:szCs w:val="22"/>
        </w:rPr>
      </w:pPr>
      <w:hyperlink r:id="rId12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Строк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обліку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коштів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у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гривні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,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що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надходять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на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користь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клієнта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-резидента, на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розподільчому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рахунку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/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рахунку</w:t>
        </w:r>
        <w:proofErr w:type="spellEnd"/>
      </w:hyperlink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  <w:hyperlink r:id="rId13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2942</w:t>
        </w:r>
      </w:hyperlink>
      <w:r>
        <w:rPr>
          <w:rFonts w:ascii="Calibri" w:hAnsi="Calibri" w:cs="Calibri"/>
          <w:color w:val="203864"/>
          <w:sz w:val="22"/>
          <w:szCs w:val="22"/>
          <w:bdr w:val="none" w:sz="0" w:space="0" w:color="auto" w:frame="1"/>
        </w:rPr>
        <w:t> </w:t>
      </w:r>
      <w:hyperlink r:id="rId14" w:tgtFrame="_blank" w:history="1"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не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може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перевищувати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трьох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робочих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днів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(не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враховуючи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день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зарахування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коштів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на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такий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рахунок</w:t>
        </w:r>
        <w:proofErr w:type="spellEnd"/>
        <w:r>
          <w:rPr>
            <w:rStyle w:val="a3"/>
            <w:rFonts w:ascii="Calibri" w:hAnsi="Calibri" w:cs="Calibri"/>
            <w:color w:val="203864"/>
            <w:sz w:val="22"/>
            <w:szCs w:val="22"/>
            <w:bdr w:val="none" w:sz="0" w:space="0" w:color="auto" w:frame="1"/>
          </w:rPr>
          <w:t>).</w:t>
        </w:r>
      </w:hyperlink>
    </w:p>
    <w:p w14:paraId="0891105D" w14:textId="77777777" w:rsidR="001E7FFC" w:rsidRDefault="001E7FFC"/>
    <w:sectPr w:rsidR="001E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3"/>
    <w:rsid w:val="001E7FFC"/>
    <w:rsid w:val="002C2BD3"/>
    <w:rsid w:val="00E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DBB9-4CA2-4AA6-BFEE-157ABB04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xxxxmsonormal0">
    <w:name w:val="x_x_x_xxxmsonormal0"/>
    <w:basedOn w:val="a"/>
    <w:rsid w:val="00ED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xxxxtj">
    <w:name w:val="x_x_x_xxxtj"/>
    <w:basedOn w:val="a"/>
    <w:rsid w:val="00ED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pb19035?ed=2019_02_06&amp;an=185" TargetMode="External"/><Relationship Id="rId13" Type="http://schemas.openxmlformats.org/officeDocument/2006/relationships/hyperlink" Target="https://ips.ligazakon.net/document/view/pb20031?ed=2020_03_02&amp;an=17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pb20031?ed=2020_03_02&amp;an=17" TargetMode="External"/><Relationship Id="rId12" Type="http://schemas.openxmlformats.org/officeDocument/2006/relationships/hyperlink" Target="https://ips.ligazakon.net/document/view/pb19035?ed=2019_02_06&amp;an=187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pb19035?ed=2019_02_06&amp;an=185" TargetMode="External"/><Relationship Id="rId11" Type="http://schemas.openxmlformats.org/officeDocument/2006/relationships/hyperlink" Target="https://ips.ligazakon.net/document/view/pb19035?ed=2019_02_06&amp;an=186" TargetMode="External"/><Relationship Id="rId5" Type="http://schemas.openxmlformats.org/officeDocument/2006/relationships/hyperlink" Target="https://ips.ligazakon.net/document/view/pb19035?ed=2019_02_06&amp;an=1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ps.ligazakon.net/document/view/pb20031?ed=2020_03_02&amp;an=17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ips.ligazakon.net/document/view/pb19035?ed=2019_02_06&amp;an=183" TargetMode="External"/><Relationship Id="rId9" Type="http://schemas.openxmlformats.org/officeDocument/2006/relationships/hyperlink" Target="https://ips.ligazakon.net/document/view/pb19035?ed=2019_02_06&amp;an=186" TargetMode="External"/><Relationship Id="rId14" Type="http://schemas.openxmlformats.org/officeDocument/2006/relationships/hyperlink" Target="https://ips.ligazakon.net/document/view/pb19035?ed=2019_02_06&amp;an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5B41B9140CD5498948D727DB4697A2" ma:contentTypeVersion="0" ma:contentTypeDescription="Створення нового документа." ma:contentTypeScope="" ma:versionID="866d200786fb9c6c0fcf994482e1f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08F5F-5D17-45DB-BE1B-8FC9EFBD7B95}"/>
</file>

<file path=customXml/itemProps2.xml><?xml version="1.0" encoding="utf-8"?>
<ds:datastoreItem xmlns:ds="http://schemas.openxmlformats.org/officeDocument/2006/customXml" ds:itemID="{2BA57FF5-AE9C-4381-8A39-6D526450E9C7}"/>
</file>

<file path=customXml/itemProps3.xml><?xml version="1.0" encoding="utf-8"?>
<ds:datastoreItem xmlns:ds="http://schemas.openxmlformats.org/officeDocument/2006/customXml" ds:itemID="{954AD4DC-40DC-4993-944D-17FF09998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Анна Григорівна</dc:creator>
  <cp:keywords/>
  <dc:description/>
  <cp:lastModifiedBy>Сокол Анна Григорівна</cp:lastModifiedBy>
  <cp:revision>2</cp:revision>
  <dcterms:created xsi:type="dcterms:W3CDTF">2023-01-30T15:50:00Z</dcterms:created>
  <dcterms:modified xsi:type="dcterms:W3CDTF">2023-01-30T15:50:00Z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0x010100025B41B9140CD5498948D727DB4697A2</vt:lpwstr>
  </property>
</Properties>
</file>